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2188" w14:textId="77777777" w:rsidR="003E72E2" w:rsidRDefault="00F3304B">
      <w:pPr>
        <w:spacing w:after="825"/>
        <w:ind w:left="149"/>
        <w:jc w:val="center"/>
      </w:pPr>
      <w:r>
        <w:rPr>
          <w:b/>
          <w:sz w:val="21"/>
          <w:u w:val="single" w:color="000000"/>
        </w:rPr>
        <w:t>QUOTATION</w:t>
      </w:r>
    </w:p>
    <w:p w14:paraId="6D464A73" w14:textId="77777777" w:rsidR="003E72E2" w:rsidRDefault="00F3304B">
      <w:pPr>
        <w:spacing w:after="253"/>
        <w:ind w:left="-3" w:right="56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EB393E" wp14:editId="31FFE1AE">
            <wp:simplePos x="0" y="0"/>
            <wp:positionH relativeFrom="column">
              <wp:posOffset>3513786</wp:posOffset>
            </wp:positionH>
            <wp:positionV relativeFrom="paragraph">
              <wp:posOffset>29489</wp:posOffset>
            </wp:positionV>
            <wp:extent cx="2434844" cy="436347"/>
            <wp:effectExtent l="0" t="0" r="0" b="0"/>
            <wp:wrapSquare wrapText="bothSides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4844" cy="43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Sent by Electronic Mail</w:t>
      </w:r>
    </w:p>
    <w:p w14:paraId="3CA31B22" w14:textId="77777777" w:rsidR="003E72E2" w:rsidRDefault="00F3304B">
      <w:pPr>
        <w:tabs>
          <w:tab w:val="center" w:pos="2094"/>
        </w:tabs>
        <w:spacing w:after="227"/>
      </w:pPr>
      <w:r>
        <w:rPr>
          <w:sz w:val="18"/>
        </w:rPr>
        <w:t>Date:</w:t>
      </w:r>
      <w:r>
        <w:rPr>
          <w:sz w:val="18"/>
        </w:rPr>
        <w:tab/>
      </w:r>
      <w:r>
        <w:rPr>
          <w:b/>
          <w:color w:val="FF0000"/>
          <w:sz w:val="17"/>
        </w:rPr>
        <w:t>31 March 2026</w:t>
      </w:r>
    </w:p>
    <w:tbl>
      <w:tblPr>
        <w:tblStyle w:val="TableGrid"/>
        <w:tblpPr w:vertAnchor="text" w:tblpX="-24" w:tblpY="-53"/>
        <w:tblOverlap w:val="never"/>
        <w:tblW w:w="7481" w:type="dxa"/>
        <w:tblInd w:w="0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2194"/>
        <w:gridCol w:w="5287"/>
      </w:tblGrid>
      <w:tr w:rsidR="003E72E2" w14:paraId="5F9C6BB0" w14:textId="77777777">
        <w:trPr>
          <w:trHeight w:val="234"/>
        </w:trPr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E6E6FF"/>
          </w:tcPr>
          <w:p w14:paraId="5854BCD8" w14:textId="77777777" w:rsidR="003E72E2" w:rsidRDefault="00F3304B">
            <w:pPr>
              <w:ind w:left="29"/>
            </w:pPr>
            <w:r>
              <w:rPr>
                <w:sz w:val="18"/>
              </w:rPr>
              <w:t>Customer Name:</w:t>
            </w:r>
          </w:p>
        </w:tc>
        <w:tc>
          <w:tcPr>
            <w:tcW w:w="528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E6E6FF"/>
          </w:tcPr>
          <w:p w14:paraId="45DD8DF9" w14:textId="77777777" w:rsidR="003E72E2" w:rsidRDefault="00F3304B">
            <w:r>
              <w:rPr>
                <w:b/>
                <w:sz w:val="17"/>
              </w:rPr>
              <w:t>Trinity Metals Group</w:t>
            </w:r>
          </w:p>
        </w:tc>
      </w:tr>
      <w:tr w:rsidR="003E72E2" w14:paraId="12568BF8" w14:textId="77777777">
        <w:trPr>
          <w:trHeight w:val="1396"/>
        </w:trPr>
        <w:tc>
          <w:tcPr>
            <w:tcW w:w="21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DC1DCD" w14:textId="77777777" w:rsidR="003E72E2" w:rsidRDefault="00F3304B">
            <w:pPr>
              <w:spacing w:after="691"/>
              <w:ind w:left="29"/>
            </w:pPr>
            <w:r>
              <w:rPr>
                <w:sz w:val="18"/>
              </w:rPr>
              <w:t>Customer Address:</w:t>
            </w:r>
          </w:p>
          <w:p w14:paraId="2D6FF34D" w14:textId="77777777" w:rsidR="003E72E2" w:rsidRDefault="00F3304B">
            <w:pPr>
              <w:ind w:left="29"/>
            </w:pPr>
            <w:r>
              <w:rPr>
                <w:sz w:val="18"/>
              </w:rPr>
              <w:t>Customer Contact Person:</w:t>
            </w:r>
          </w:p>
          <w:p w14:paraId="3AD5A2CC" w14:textId="77777777" w:rsidR="003E72E2" w:rsidRDefault="00F3304B">
            <w:pPr>
              <w:ind w:left="29"/>
            </w:pPr>
            <w:r>
              <w:rPr>
                <w:sz w:val="18"/>
              </w:rPr>
              <w:t>Contact Email: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0D32D13" w14:textId="77777777" w:rsidR="003E72E2" w:rsidRDefault="00F3304B">
            <w:pPr>
              <w:spacing w:after="719"/>
            </w:pPr>
            <w:r>
              <w:rPr>
                <w:b/>
                <w:sz w:val="17"/>
              </w:rPr>
              <w:t xml:space="preserve">Address: P.O Box: </w:t>
            </w:r>
            <w:proofErr w:type="gramStart"/>
            <w:r>
              <w:rPr>
                <w:b/>
                <w:sz w:val="17"/>
              </w:rPr>
              <w:t>3824  Musha</w:t>
            </w:r>
            <w:proofErr w:type="gramEnd"/>
            <w:r>
              <w:rPr>
                <w:b/>
                <w:sz w:val="17"/>
              </w:rPr>
              <w:t>, Rwamagana</w:t>
            </w:r>
          </w:p>
          <w:p w14:paraId="3074F7E3" w14:textId="77777777" w:rsidR="003E72E2" w:rsidRDefault="00F3304B">
            <w:pPr>
              <w:ind w:left="38" w:right="580" w:hanging="36"/>
            </w:pPr>
            <w:r>
              <w:rPr>
                <w:b/>
                <w:sz w:val="18"/>
              </w:rPr>
              <w:t xml:space="preserve"> Juliette Confiance Kabatesi </w:t>
            </w:r>
            <w:r>
              <w:rPr>
                <w:color w:val="0000FF"/>
                <w:sz w:val="17"/>
                <w:u w:val="single" w:color="0000FF"/>
              </w:rPr>
              <w:t xml:space="preserve">juliette.kabatesi@trinity-metals.com </w:t>
            </w:r>
          </w:p>
        </w:tc>
      </w:tr>
    </w:tbl>
    <w:p w14:paraId="1D446E08" w14:textId="77777777" w:rsidR="003E72E2" w:rsidRDefault="00F3304B">
      <w:pPr>
        <w:spacing w:after="0"/>
        <w:ind w:left="10" w:right="85" w:hanging="10"/>
        <w:jc w:val="right"/>
      </w:pPr>
      <w:r>
        <w:rPr>
          <w:b/>
          <w:sz w:val="17"/>
        </w:rPr>
        <w:t>Reg. No. 2018/471050/07</w:t>
      </w:r>
    </w:p>
    <w:p w14:paraId="653DE093" w14:textId="77777777" w:rsidR="003E72E2" w:rsidRDefault="00F3304B">
      <w:pPr>
        <w:spacing w:after="301"/>
        <w:ind w:right="2"/>
        <w:jc w:val="right"/>
      </w:pPr>
      <w:r>
        <w:rPr>
          <w:rFonts w:ascii="Arial" w:eastAsia="Arial" w:hAnsi="Arial" w:cs="Arial"/>
          <w:b/>
          <w:sz w:val="14"/>
        </w:rPr>
        <w:t>VAT Reg. No. 4400194843</w:t>
      </w:r>
    </w:p>
    <w:p w14:paraId="11DD6609" w14:textId="77777777" w:rsidR="003E72E2" w:rsidRDefault="00F3304B">
      <w:pPr>
        <w:spacing w:after="45"/>
        <w:ind w:left="-8087" w:right="-12" w:hanging="10"/>
        <w:jc w:val="right"/>
      </w:pPr>
      <w:r>
        <w:rPr>
          <w:rFonts w:ascii="Arial" w:eastAsia="Arial" w:hAnsi="Arial" w:cs="Arial"/>
          <w:b/>
          <w:sz w:val="15"/>
        </w:rPr>
        <w:t>P O Box 15</w:t>
      </w:r>
    </w:p>
    <w:p w14:paraId="75A019B1" w14:textId="77777777" w:rsidR="003E72E2" w:rsidRDefault="00F3304B">
      <w:pPr>
        <w:spacing w:after="45"/>
        <w:ind w:left="-8087" w:right="-12" w:hanging="10"/>
        <w:jc w:val="right"/>
      </w:pPr>
      <w:r>
        <w:rPr>
          <w:rFonts w:ascii="Arial" w:eastAsia="Arial" w:hAnsi="Arial" w:cs="Arial"/>
          <w:b/>
          <w:sz w:val="15"/>
        </w:rPr>
        <w:t>RANDBURG 2125</w:t>
      </w:r>
    </w:p>
    <w:p w14:paraId="1A06A4DF" w14:textId="77777777" w:rsidR="003E72E2" w:rsidRDefault="00F3304B">
      <w:pPr>
        <w:spacing w:after="45"/>
        <w:ind w:left="-8087" w:right="-12" w:hanging="10"/>
        <w:jc w:val="right"/>
      </w:pPr>
      <w:r>
        <w:rPr>
          <w:rFonts w:ascii="Arial" w:eastAsia="Arial" w:hAnsi="Arial" w:cs="Arial"/>
          <w:b/>
          <w:sz w:val="15"/>
        </w:rPr>
        <w:t>328 Boundary Rd</w:t>
      </w:r>
    </w:p>
    <w:p w14:paraId="0BEFC55F" w14:textId="77777777" w:rsidR="003E72E2" w:rsidRDefault="00F3304B">
      <w:pPr>
        <w:spacing w:after="45"/>
        <w:ind w:left="-8087" w:right="-12" w:hanging="10"/>
        <w:jc w:val="right"/>
      </w:pPr>
      <w:r>
        <w:rPr>
          <w:rFonts w:ascii="Arial" w:eastAsia="Arial" w:hAnsi="Arial" w:cs="Arial"/>
          <w:b/>
          <w:sz w:val="15"/>
        </w:rPr>
        <w:t>North Riding</w:t>
      </w:r>
    </w:p>
    <w:p w14:paraId="0873967F" w14:textId="77777777" w:rsidR="003E72E2" w:rsidRDefault="00F3304B">
      <w:pPr>
        <w:spacing w:after="29" w:line="276" w:lineRule="auto"/>
        <w:ind w:right="-14" w:firstLine="1054"/>
      </w:pPr>
      <w:r>
        <w:rPr>
          <w:rFonts w:ascii="Arial" w:eastAsia="Arial" w:hAnsi="Arial" w:cs="Arial"/>
          <w:b/>
          <w:sz w:val="15"/>
        </w:rPr>
        <w:t>2169 Tel</w:t>
      </w:r>
      <w:proofErr w:type="gramStart"/>
      <w:r>
        <w:rPr>
          <w:rFonts w:ascii="Arial" w:eastAsia="Arial" w:hAnsi="Arial" w:cs="Arial"/>
          <w:b/>
          <w:sz w:val="15"/>
        </w:rPr>
        <w:t>:  (</w:t>
      </w:r>
      <w:proofErr w:type="gramEnd"/>
      <w:r>
        <w:rPr>
          <w:rFonts w:ascii="Arial" w:eastAsia="Arial" w:hAnsi="Arial" w:cs="Arial"/>
          <w:b/>
          <w:sz w:val="15"/>
        </w:rPr>
        <w:t>011) 787-9179</w:t>
      </w:r>
    </w:p>
    <w:tbl>
      <w:tblPr>
        <w:tblStyle w:val="TableGrid"/>
        <w:tblpPr w:vertAnchor="text" w:tblpX="-24" w:tblpY="-59"/>
        <w:tblOverlap w:val="never"/>
        <w:tblW w:w="7481" w:type="dxa"/>
        <w:tblInd w:w="0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2194"/>
        <w:gridCol w:w="5287"/>
      </w:tblGrid>
      <w:tr w:rsidR="003E72E2" w14:paraId="1C4952BD" w14:textId="77777777">
        <w:trPr>
          <w:trHeight w:val="234"/>
        </w:trPr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E6E6FF"/>
          </w:tcPr>
          <w:p w14:paraId="55613677" w14:textId="77777777" w:rsidR="003E72E2" w:rsidRDefault="00F3304B">
            <w:pPr>
              <w:ind w:left="29"/>
            </w:pPr>
            <w:r>
              <w:rPr>
                <w:sz w:val="18"/>
              </w:rPr>
              <w:t>Sarto Contact Person:</w:t>
            </w:r>
          </w:p>
        </w:tc>
        <w:tc>
          <w:tcPr>
            <w:tcW w:w="5287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E6E6FF"/>
          </w:tcPr>
          <w:p w14:paraId="0D735324" w14:textId="77777777" w:rsidR="003E72E2" w:rsidRDefault="00F3304B">
            <w:pPr>
              <w:ind w:left="2"/>
            </w:pPr>
            <w:r>
              <w:rPr>
                <w:b/>
                <w:color w:val="0000FF"/>
                <w:sz w:val="18"/>
                <w:u w:val="single" w:color="0000FF"/>
              </w:rPr>
              <w:t>Buhle Mkhize</w:t>
            </w:r>
          </w:p>
        </w:tc>
      </w:tr>
      <w:tr w:rsidR="003E72E2" w14:paraId="739C9D47" w14:textId="77777777">
        <w:trPr>
          <w:trHeight w:val="232"/>
        </w:trPr>
        <w:tc>
          <w:tcPr>
            <w:tcW w:w="21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F7DB27" w14:textId="77777777" w:rsidR="003E72E2" w:rsidRDefault="00F3304B">
            <w:pPr>
              <w:ind w:left="29"/>
            </w:pPr>
            <w:r>
              <w:rPr>
                <w:sz w:val="18"/>
              </w:rPr>
              <w:t>File Reference: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69F2D61" w14:textId="77777777" w:rsidR="003E72E2" w:rsidRDefault="00F3304B">
            <w:r>
              <w:rPr>
                <w:b/>
                <w:sz w:val="17"/>
              </w:rPr>
              <w:t>SMS0355</w:t>
            </w:r>
            <w:r>
              <w:rPr>
                <w:b/>
                <w:color w:val="FF0000"/>
                <w:sz w:val="17"/>
              </w:rPr>
              <w:t>R</w:t>
            </w:r>
            <w:r>
              <w:rPr>
                <w:b/>
                <w:sz w:val="17"/>
              </w:rPr>
              <w:t>_26</w:t>
            </w:r>
          </w:p>
        </w:tc>
      </w:tr>
    </w:tbl>
    <w:p w14:paraId="5A4AB217" w14:textId="77777777" w:rsidR="003E72E2" w:rsidRDefault="00F3304B">
      <w:pPr>
        <w:spacing w:after="134" w:line="276" w:lineRule="auto"/>
        <w:ind w:left="294" w:right="-14" w:hanging="294"/>
      </w:pPr>
      <w:r>
        <w:rPr>
          <w:rFonts w:ascii="Arial" w:eastAsia="Arial" w:hAnsi="Arial" w:cs="Arial"/>
          <w:b/>
          <w:sz w:val="15"/>
        </w:rPr>
        <w:t>Fax</w:t>
      </w:r>
      <w:proofErr w:type="gramStart"/>
      <w:r>
        <w:rPr>
          <w:rFonts w:ascii="Arial" w:eastAsia="Arial" w:hAnsi="Arial" w:cs="Arial"/>
          <w:b/>
          <w:sz w:val="15"/>
        </w:rPr>
        <w:t>:  (</w:t>
      </w:r>
      <w:proofErr w:type="gramEnd"/>
      <w:r>
        <w:rPr>
          <w:rFonts w:ascii="Arial" w:eastAsia="Arial" w:hAnsi="Arial" w:cs="Arial"/>
          <w:b/>
          <w:sz w:val="15"/>
        </w:rPr>
        <w:t xml:space="preserve">086) 609-1359 </w:t>
      </w:r>
      <w:hyperlink r:id="rId6">
        <w:r>
          <w:rPr>
            <w:color w:val="0000FF"/>
            <w:sz w:val="17"/>
            <w:u w:val="single" w:color="0000FF"/>
          </w:rPr>
          <w:t>www</w:t>
        </w:r>
      </w:hyperlink>
      <w:r>
        <w:rPr>
          <w:color w:val="0000FF"/>
          <w:sz w:val="17"/>
          <w:u w:val="single" w:color="0000FF"/>
        </w:rPr>
        <w:t>.sarto.co.za</w:t>
      </w:r>
    </w:p>
    <w:p w14:paraId="7E9EFB96" w14:textId="77777777" w:rsidR="003E72E2" w:rsidRDefault="00F3304B">
      <w:pPr>
        <w:spacing w:after="0"/>
        <w:ind w:left="-3" w:hanging="10"/>
      </w:pPr>
      <w:r>
        <w:rPr>
          <w:b/>
          <w:sz w:val="17"/>
          <w:u w:val="single" w:color="000000"/>
        </w:rPr>
        <w:t>Full Description of Items Quoted</w:t>
      </w:r>
    </w:p>
    <w:tbl>
      <w:tblPr>
        <w:tblStyle w:val="TableGrid"/>
        <w:tblW w:w="9409" w:type="dxa"/>
        <w:tblInd w:w="-28" w:type="dxa"/>
        <w:tblCellMar>
          <w:top w:w="11" w:type="dxa"/>
          <w:left w:w="29" w:type="dxa"/>
          <w:right w:w="30" w:type="dxa"/>
        </w:tblCellMar>
        <w:tblLook w:val="04A0" w:firstRow="1" w:lastRow="0" w:firstColumn="1" w:lastColumn="0" w:noHBand="0" w:noVBand="1"/>
      </w:tblPr>
      <w:tblGrid>
        <w:gridCol w:w="2666"/>
        <w:gridCol w:w="2841"/>
        <w:gridCol w:w="920"/>
        <w:gridCol w:w="1054"/>
        <w:gridCol w:w="874"/>
        <w:gridCol w:w="1054"/>
      </w:tblGrid>
      <w:tr w:rsidR="003E72E2" w14:paraId="49828C69" w14:textId="77777777">
        <w:trPr>
          <w:trHeight w:val="662"/>
        </w:trPr>
        <w:tc>
          <w:tcPr>
            <w:tcW w:w="9409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00"/>
          </w:tcPr>
          <w:p w14:paraId="3426A487" w14:textId="77777777" w:rsidR="003E72E2" w:rsidRDefault="00F3304B">
            <w:pPr>
              <w:ind w:left="1"/>
            </w:pPr>
            <w:r>
              <w:rPr>
                <w:sz w:val="17"/>
              </w:rPr>
              <w:t xml:space="preserve">Quotation for Supply, Calibration and Certification of - Model CKT 32UH Capacity 32kg Readability 0.2g Pan Size 300x210mm &amp; Mass Pieces: F1 Class Accuracy Set JC: 1kg, 5kg, 10kg, 20kg.  </w:t>
            </w:r>
            <w:r>
              <w:rPr>
                <w:b/>
                <w:color w:val="FF0000"/>
                <w:sz w:val="17"/>
                <w:u w:val="single" w:color="FF0000"/>
              </w:rPr>
              <w:t>DELIVERY NOT INCLUDED.</w:t>
            </w:r>
          </w:p>
        </w:tc>
      </w:tr>
      <w:tr w:rsidR="003E72E2" w14:paraId="6B81172A" w14:textId="77777777">
        <w:trPr>
          <w:trHeight w:val="221"/>
        </w:trPr>
        <w:tc>
          <w:tcPr>
            <w:tcW w:w="2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FF"/>
          </w:tcPr>
          <w:p w14:paraId="305168EB" w14:textId="77777777" w:rsidR="003E72E2" w:rsidRDefault="00F3304B">
            <w:pPr>
              <w:ind w:left="1"/>
            </w:pPr>
            <w:r>
              <w:rPr>
                <w:b/>
                <w:sz w:val="17"/>
              </w:rPr>
              <w:t>Description</w:t>
            </w:r>
          </w:p>
        </w:tc>
        <w:tc>
          <w:tcPr>
            <w:tcW w:w="2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FF"/>
          </w:tcPr>
          <w:p w14:paraId="3E32D1DE" w14:textId="77777777" w:rsidR="003E72E2" w:rsidRDefault="00F3304B">
            <w:pPr>
              <w:ind w:left="18"/>
              <w:jc w:val="center"/>
            </w:pPr>
            <w:r>
              <w:rPr>
                <w:b/>
                <w:sz w:val="17"/>
              </w:rPr>
              <w:t>Model (If Applicable)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FF"/>
          </w:tcPr>
          <w:p w14:paraId="3EAA0AF7" w14:textId="77777777" w:rsidR="003E72E2" w:rsidRDefault="00F3304B">
            <w:pPr>
              <w:ind w:left="20"/>
              <w:jc w:val="center"/>
            </w:pPr>
            <w:r>
              <w:rPr>
                <w:b/>
                <w:sz w:val="17"/>
              </w:rPr>
              <w:t>Unit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FF"/>
          </w:tcPr>
          <w:p w14:paraId="1C736CFD" w14:textId="77777777" w:rsidR="003E72E2" w:rsidRDefault="00F3304B">
            <w:pPr>
              <w:ind w:left="19"/>
              <w:jc w:val="center"/>
            </w:pPr>
            <w:r>
              <w:rPr>
                <w:b/>
                <w:sz w:val="17"/>
              </w:rPr>
              <w:t>Rate Ea.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FF"/>
          </w:tcPr>
          <w:p w14:paraId="1328F5C9" w14:textId="77777777" w:rsidR="003E72E2" w:rsidRDefault="00F3304B">
            <w:pPr>
              <w:ind w:left="20"/>
              <w:jc w:val="center"/>
            </w:pPr>
            <w:r>
              <w:rPr>
                <w:b/>
                <w:sz w:val="17"/>
              </w:rPr>
              <w:t>Qty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FF"/>
          </w:tcPr>
          <w:p w14:paraId="2569EBA0" w14:textId="77777777" w:rsidR="003E72E2" w:rsidRDefault="00F3304B">
            <w:pPr>
              <w:ind w:left="20"/>
              <w:jc w:val="center"/>
            </w:pPr>
            <w:r>
              <w:rPr>
                <w:b/>
                <w:sz w:val="17"/>
              </w:rPr>
              <w:t>Total</w:t>
            </w:r>
          </w:p>
        </w:tc>
      </w:tr>
      <w:tr w:rsidR="003E72E2" w14:paraId="005058D7" w14:textId="77777777">
        <w:trPr>
          <w:trHeight w:val="2393"/>
        </w:trPr>
        <w:tc>
          <w:tcPr>
            <w:tcW w:w="2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28F62" w14:textId="77777777" w:rsidR="003E72E2" w:rsidRDefault="00F3304B">
            <w:pPr>
              <w:spacing w:after="163"/>
              <w:ind w:left="1"/>
            </w:pPr>
            <w:r>
              <w:rPr>
                <w:sz w:val="17"/>
              </w:rPr>
              <w:t>New Scale</w:t>
            </w:r>
          </w:p>
          <w:p w14:paraId="2A237673" w14:textId="77777777" w:rsidR="003E72E2" w:rsidRDefault="00F3304B">
            <w:pPr>
              <w:ind w:left="1"/>
            </w:pPr>
            <w:r>
              <w:rPr>
                <w:sz w:val="17"/>
              </w:rPr>
              <w:t>Calibration - Scale</w:t>
            </w:r>
          </w:p>
          <w:p w14:paraId="2D83D712" w14:textId="77777777" w:rsidR="003E72E2" w:rsidRDefault="00F3304B">
            <w:pPr>
              <w:ind w:left="1"/>
            </w:pPr>
            <w:r>
              <w:rPr>
                <w:sz w:val="17"/>
              </w:rPr>
              <w:t>SANAS Calibration Certificate/s</w:t>
            </w:r>
          </w:p>
          <w:p w14:paraId="35DE9758" w14:textId="77777777" w:rsidR="003E72E2" w:rsidRDefault="00F3304B">
            <w:pPr>
              <w:ind w:left="1"/>
            </w:pPr>
            <w:r>
              <w:rPr>
                <w:sz w:val="17"/>
              </w:rPr>
              <w:t>New Weight</w:t>
            </w:r>
          </w:p>
          <w:p w14:paraId="3760E196" w14:textId="77777777" w:rsidR="003E72E2" w:rsidRDefault="00F3304B">
            <w:pPr>
              <w:ind w:left="1"/>
            </w:pPr>
            <w:r>
              <w:rPr>
                <w:sz w:val="17"/>
              </w:rPr>
              <w:t>New Weight</w:t>
            </w:r>
          </w:p>
          <w:p w14:paraId="1ABB106F" w14:textId="77777777" w:rsidR="003E72E2" w:rsidRDefault="00F3304B">
            <w:pPr>
              <w:ind w:left="1"/>
            </w:pPr>
            <w:r>
              <w:rPr>
                <w:sz w:val="17"/>
              </w:rPr>
              <w:t>New Weight</w:t>
            </w:r>
          </w:p>
          <w:p w14:paraId="15723D1B" w14:textId="77777777" w:rsidR="003E72E2" w:rsidRDefault="00F3304B">
            <w:pPr>
              <w:ind w:left="1"/>
            </w:pPr>
            <w:r>
              <w:rPr>
                <w:sz w:val="17"/>
              </w:rPr>
              <w:t>New Weight</w:t>
            </w:r>
          </w:p>
          <w:p w14:paraId="5A9EF2EC" w14:textId="77777777" w:rsidR="003E72E2" w:rsidRDefault="00F3304B">
            <w:pPr>
              <w:ind w:left="1"/>
            </w:pPr>
            <w:r>
              <w:rPr>
                <w:sz w:val="17"/>
              </w:rPr>
              <w:t>Calibration - Weights</w:t>
            </w:r>
          </w:p>
        </w:tc>
        <w:tc>
          <w:tcPr>
            <w:tcW w:w="2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DA37D4" w14:textId="77777777" w:rsidR="003E72E2" w:rsidRDefault="00F3304B">
            <w:r>
              <w:rPr>
                <w:sz w:val="15"/>
              </w:rPr>
              <w:t xml:space="preserve">Model CKT 32UH Capacity 32kg Readability </w:t>
            </w:r>
          </w:p>
          <w:p w14:paraId="349C8FAA" w14:textId="77777777" w:rsidR="003E72E2" w:rsidRDefault="00F3304B">
            <w:pPr>
              <w:spacing w:after="456"/>
            </w:pPr>
            <w:r>
              <w:rPr>
                <w:color w:val="FF0000"/>
                <w:sz w:val="15"/>
              </w:rPr>
              <w:t>0.2g</w:t>
            </w:r>
          </w:p>
          <w:p w14:paraId="754049D1" w14:textId="77777777" w:rsidR="003E72E2" w:rsidRDefault="00F3304B">
            <w:pPr>
              <w:spacing w:after="21"/>
            </w:pPr>
            <w:r>
              <w:rPr>
                <w:sz w:val="15"/>
              </w:rPr>
              <w:t>Set JC: 1kg F1 - in wooden box</w:t>
            </w:r>
          </w:p>
          <w:p w14:paraId="3E5CC7B1" w14:textId="77777777" w:rsidR="003E72E2" w:rsidRDefault="00F3304B">
            <w:pPr>
              <w:spacing w:after="21"/>
            </w:pPr>
            <w:r>
              <w:rPr>
                <w:sz w:val="15"/>
              </w:rPr>
              <w:t xml:space="preserve">            5kg F1 - in wooden box</w:t>
            </w:r>
          </w:p>
          <w:p w14:paraId="0865B961" w14:textId="77777777" w:rsidR="003E72E2" w:rsidRDefault="00F3304B">
            <w:pPr>
              <w:spacing w:after="21"/>
            </w:pPr>
            <w:r>
              <w:rPr>
                <w:sz w:val="15"/>
              </w:rPr>
              <w:t xml:space="preserve">            10kg F1 - in wooden box</w:t>
            </w:r>
          </w:p>
          <w:p w14:paraId="41857D2E" w14:textId="77777777" w:rsidR="003E72E2" w:rsidRDefault="00F3304B">
            <w:pPr>
              <w:spacing w:after="21"/>
            </w:pPr>
            <w:r>
              <w:rPr>
                <w:sz w:val="15"/>
              </w:rPr>
              <w:t xml:space="preserve">            20kg F1 - in wooden box</w:t>
            </w:r>
          </w:p>
          <w:p w14:paraId="3920175E" w14:textId="77777777" w:rsidR="003E72E2" w:rsidRDefault="00F3304B">
            <w:pPr>
              <w:ind w:right="801"/>
              <w:jc w:val="both"/>
            </w:pPr>
            <w:r>
              <w:rPr>
                <w:sz w:val="15"/>
              </w:rPr>
              <w:t xml:space="preserve">Set JC: 1kg to 20kg - F1 Class </w:t>
            </w:r>
            <w:r>
              <w:rPr>
                <w:i/>
                <w:sz w:val="15"/>
              </w:rPr>
              <w:t>incl SANAS Certificate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2D39D5" w14:textId="77777777" w:rsidR="003E72E2" w:rsidRDefault="00F3304B">
            <w:pPr>
              <w:spacing w:after="163"/>
              <w:ind w:left="2"/>
            </w:pPr>
            <w:r>
              <w:rPr>
                <w:sz w:val="17"/>
              </w:rPr>
              <w:t>per item</w:t>
            </w:r>
          </w:p>
          <w:p w14:paraId="25105B33" w14:textId="77777777" w:rsidR="003E72E2" w:rsidRDefault="00F3304B">
            <w:pPr>
              <w:ind w:left="2" w:right="47"/>
            </w:pPr>
            <w:r>
              <w:rPr>
                <w:sz w:val="17"/>
              </w:rPr>
              <w:t>per item per item per item per item per item per item per item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877D8E" w14:textId="77777777" w:rsidR="003E72E2" w:rsidRDefault="00F3304B">
            <w:pPr>
              <w:spacing w:after="163"/>
              <w:jc w:val="right"/>
            </w:pPr>
            <w:r>
              <w:rPr>
                <w:sz w:val="17"/>
              </w:rPr>
              <w:t>$899,17</w:t>
            </w:r>
          </w:p>
          <w:p w14:paraId="0BE89C1D" w14:textId="77777777" w:rsidR="003E72E2" w:rsidRDefault="00F3304B">
            <w:pPr>
              <w:jc w:val="right"/>
            </w:pPr>
            <w:r>
              <w:rPr>
                <w:sz w:val="17"/>
              </w:rPr>
              <w:t>$50,00</w:t>
            </w:r>
          </w:p>
          <w:p w14:paraId="75B9AAD2" w14:textId="77777777" w:rsidR="003E72E2" w:rsidRDefault="00F3304B">
            <w:pPr>
              <w:jc w:val="right"/>
            </w:pPr>
            <w:r>
              <w:rPr>
                <w:sz w:val="17"/>
              </w:rPr>
              <w:t>$84,33</w:t>
            </w:r>
          </w:p>
          <w:p w14:paraId="6EDB3385" w14:textId="77777777" w:rsidR="003E72E2" w:rsidRDefault="00F3304B">
            <w:pPr>
              <w:jc w:val="right"/>
            </w:pPr>
            <w:r>
              <w:rPr>
                <w:sz w:val="17"/>
              </w:rPr>
              <w:t>$298,67</w:t>
            </w:r>
          </w:p>
          <w:p w14:paraId="6A54719F" w14:textId="77777777" w:rsidR="003E72E2" w:rsidRDefault="00F3304B">
            <w:pPr>
              <w:spacing w:line="258" w:lineRule="auto"/>
              <w:ind w:left="280"/>
              <w:jc w:val="right"/>
            </w:pPr>
            <w:r>
              <w:rPr>
                <w:sz w:val="17"/>
              </w:rPr>
              <w:t>$916,16 $1 312,53</w:t>
            </w:r>
          </w:p>
          <w:p w14:paraId="4497C7CA" w14:textId="77777777" w:rsidR="003E72E2" w:rsidRDefault="00F3304B">
            <w:pPr>
              <w:jc w:val="right"/>
            </w:pPr>
            <w:r>
              <w:rPr>
                <w:sz w:val="17"/>
              </w:rPr>
              <w:t>$2 260,91 $65,07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D860DC" w14:textId="77777777" w:rsidR="003E72E2" w:rsidRDefault="00F3304B">
            <w:pPr>
              <w:spacing w:after="163"/>
              <w:ind w:left="728"/>
            </w:pPr>
            <w:r>
              <w:rPr>
                <w:sz w:val="17"/>
              </w:rPr>
              <w:t>1</w:t>
            </w:r>
          </w:p>
          <w:p w14:paraId="41088E8B" w14:textId="77777777" w:rsidR="003E72E2" w:rsidRDefault="00F3304B">
            <w:pPr>
              <w:ind w:left="728"/>
            </w:pPr>
            <w:r>
              <w:rPr>
                <w:sz w:val="17"/>
              </w:rPr>
              <w:t>1</w:t>
            </w:r>
          </w:p>
          <w:p w14:paraId="0051544D" w14:textId="77777777" w:rsidR="003E72E2" w:rsidRDefault="00F3304B">
            <w:pPr>
              <w:ind w:left="728"/>
            </w:pPr>
            <w:r>
              <w:rPr>
                <w:sz w:val="17"/>
              </w:rPr>
              <w:t>1</w:t>
            </w:r>
          </w:p>
          <w:p w14:paraId="4B1BAD5E" w14:textId="77777777" w:rsidR="003E72E2" w:rsidRDefault="00F3304B">
            <w:pPr>
              <w:ind w:left="728"/>
            </w:pPr>
            <w:r>
              <w:rPr>
                <w:sz w:val="17"/>
              </w:rPr>
              <w:t>1</w:t>
            </w:r>
          </w:p>
          <w:p w14:paraId="7FD6CD1B" w14:textId="77777777" w:rsidR="003E72E2" w:rsidRDefault="00F3304B">
            <w:pPr>
              <w:ind w:left="728"/>
            </w:pPr>
            <w:r>
              <w:rPr>
                <w:sz w:val="17"/>
              </w:rPr>
              <w:t>1</w:t>
            </w:r>
          </w:p>
          <w:p w14:paraId="6E878ADA" w14:textId="77777777" w:rsidR="003E72E2" w:rsidRDefault="00F3304B">
            <w:pPr>
              <w:ind w:left="728"/>
            </w:pPr>
            <w:r>
              <w:rPr>
                <w:sz w:val="17"/>
              </w:rPr>
              <w:t>1</w:t>
            </w:r>
          </w:p>
          <w:p w14:paraId="60E6CBBF" w14:textId="77777777" w:rsidR="003E72E2" w:rsidRDefault="00F3304B">
            <w:pPr>
              <w:ind w:left="728"/>
            </w:pPr>
            <w:r>
              <w:rPr>
                <w:sz w:val="17"/>
              </w:rPr>
              <w:t>1</w:t>
            </w:r>
          </w:p>
          <w:p w14:paraId="112356A6" w14:textId="77777777" w:rsidR="003E72E2" w:rsidRDefault="00F3304B">
            <w:pPr>
              <w:ind w:left="728"/>
            </w:pPr>
            <w:r>
              <w:rPr>
                <w:sz w:val="17"/>
              </w:rPr>
              <w:t>4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FE63D" w14:textId="77777777" w:rsidR="003E72E2" w:rsidRDefault="00F3304B">
            <w:pPr>
              <w:spacing w:after="163"/>
              <w:jc w:val="right"/>
            </w:pPr>
            <w:r>
              <w:rPr>
                <w:sz w:val="17"/>
              </w:rPr>
              <w:t>$899,17</w:t>
            </w:r>
          </w:p>
          <w:p w14:paraId="43F07406" w14:textId="77777777" w:rsidR="003E72E2" w:rsidRDefault="00F3304B">
            <w:pPr>
              <w:jc w:val="right"/>
            </w:pPr>
            <w:r>
              <w:rPr>
                <w:sz w:val="17"/>
              </w:rPr>
              <w:t>$50,00</w:t>
            </w:r>
          </w:p>
          <w:p w14:paraId="7A9FD70E" w14:textId="77777777" w:rsidR="003E72E2" w:rsidRDefault="00F3304B">
            <w:pPr>
              <w:jc w:val="right"/>
            </w:pPr>
            <w:r>
              <w:rPr>
                <w:sz w:val="17"/>
              </w:rPr>
              <w:t>$84,33</w:t>
            </w:r>
          </w:p>
          <w:p w14:paraId="610A1BDC" w14:textId="77777777" w:rsidR="003E72E2" w:rsidRDefault="00F3304B">
            <w:pPr>
              <w:jc w:val="right"/>
            </w:pPr>
            <w:r>
              <w:rPr>
                <w:sz w:val="17"/>
              </w:rPr>
              <w:t>$298,67</w:t>
            </w:r>
          </w:p>
          <w:p w14:paraId="5BDBB6CA" w14:textId="77777777" w:rsidR="003E72E2" w:rsidRDefault="00F3304B">
            <w:pPr>
              <w:spacing w:line="258" w:lineRule="auto"/>
              <w:ind w:left="280"/>
              <w:jc w:val="right"/>
            </w:pPr>
            <w:r>
              <w:rPr>
                <w:sz w:val="17"/>
              </w:rPr>
              <w:t>$916,16 $1 312,53</w:t>
            </w:r>
          </w:p>
          <w:p w14:paraId="1700447E" w14:textId="77777777" w:rsidR="003E72E2" w:rsidRDefault="00F3304B">
            <w:pPr>
              <w:jc w:val="right"/>
            </w:pPr>
            <w:r>
              <w:rPr>
                <w:sz w:val="17"/>
              </w:rPr>
              <w:t>$2 260,91 $260,30</w:t>
            </w:r>
          </w:p>
        </w:tc>
      </w:tr>
    </w:tbl>
    <w:p w14:paraId="256CD306" w14:textId="77777777" w:rsidR="003E72E2" w:rsidRDefault="00F3304B">
      <w:pPr>
        <w:tabs>
          <w:tab w:val="center" w:pos="5706"/>
          <w:tab w:val="right" w:pos="9351"/>
        </w:tabs>
        <w:spacing w:after="0"/>
        <w:ind w:right="-15"/>
      </w:pPr>
      <w:r>
        <w:tab/>
      </w:r>
      <w:r>
        <w:rPr>
          <w:b/>
          <w:sz w:val="17"/>
        </w:rPr>
        <w:t>Sub Total (Ex. VAT)</w:t>
      </w:r>
      <w:r>
        <w:rPr>
          <w:b/>
          <w:sz w:val="17"/>
        </w:rPr>
        <w:tab/>
        <w:t>$6 082,06</w:t>
      </w:r>
    </w:p>
    <w:p w14:paraId="5AE85962" w14:textId="77777777" w:rsidR="003E72E2" w:rsidRDefault="00F3304B">
      <w:pPr>
        <w:spacing w:after="0"/>
        <w:ind w:left="3107"/>
        <w:jc w:val="center"/>
      </w:pPr>
      <w:r>
        <w:rPr>
          <w:b/>
          <w:sz w:val="17"/>
        </w:rPr>
        <w:t>VAT</w:t>
      </w:r>
    </w:p>
    <w:p w14:paraId="1EB9E26A" w14:textId="77777777" w:rsidR="003E72E2" w:rsidRDefault="00F3304B">
      <w:pPr>
        <w:spacing w:after="0"/>
        <w:ind w:left="2139" w:right="-32"/>
      </w:pPr>
      <w:r>
        <w:rPr>
          <w:noProof/>
        </w:rPr>
        <mc:AlternateContent>
          <mc:Choice Requires="wpg">
            <w:drawing>
              <wp:inline distT="0" distB="0" distL="0" distR="0" wp14:anchorId="4081A81A" wp14:editId="491AC9C2">
                <wp:extent cx="2477135" cy="18288"/>
                <wp:effectExtent l="0" t="0" r="0" b="0"/>
                <wp:docPr id="2632" name="Group 2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135" cy="18288"/>
                          <a:chOff x="0" y="0"/>
                          <a:chExt cx="2477135" cy="18288"/>
                        </a:xfrm>
                      </wpg:grpSpPr>
                      <wps:wsp>
                        <wps:cNvPr id="3064" name="Shape 3064"/>
                        <wps:cNvSpPr/>
                        <wps:spPr>
                          <a:xfrm>
                            <a:off x="0" y="0"/>
                            <a:ext cx="247713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7135" h="18288">
                                <a:moveTo>
                                  <a:pt x="0" y="0"/>
                                </a:moveTo>
                                <a:lnTo>
                                  <a:pt x="2477135" y="0"/>
                                </a:lnTo>
                                <a:lnTo>
                                  <a:pt x="247713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2" style="width:195.05pt;height:1.44pt;mso-position-horizontal-relative:char;mso-position-vertical-relative:line" coordsize="24771,182">
                <v:shape id="Shape 3065" style="position:absolute;width:24771;height:182;left:0;top:0;" coordsize="2477135,18288" path="m0,0l2477135,0l2477135,18288l0,18288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5C2FBFDE" w14:textId="77777777" w:rsidR="003E72E2" w:rsidRDefault="00F3304B">
      <w:pPr>
        <w:tabs>
          <w:tab w:val="center" w:pos="1977"/>
          <w:tab w:val="center" w:pos="5812"/>
          <w:tab w:val="right" w:pos="9351"/>
        </w:tabs>
        <w:spacing w:after="0"/>
        <w:ind w:right="-15"/>
      </w:pPr>
      <w:r>
        <w:tab/>
      </w:r>
      <w:r>
        <w:rPr>
          <w:b/>
          <w:i/>
          <w:sz w:val="17"/>
        </w:rPr>
        <w:t xml:space="preserve">Availability: </w:t>
      </w:r>
      <w:r>
        <w:rPr>
          <w:noProof/>
        </w:rPr>
        <mc:AlternateContent>
          <mc:Choice Requires="wpg">
            <w:drawing>
              <wp:inline distT="0" distB="0" distL="0" distR="0" wp14:anchorId="23BAE8ED" wp14:editId="54869095">
                <wp:extent cx="320040" cy="112776"/>
                <wp:effectExtent l="0" t="0" r="0" b="0"/>
                <wp:docPr id="2631" name="Group 2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112776"/>
                          <a:chOff x="0" y="0"/>
                          <a:chExt cx="320040" cy="112776"/>
                        </a:xfrm>
                      </wpg:grpSpPr>
                      <wps:wsp>
                        <wps:cNvPr id="3066" name="Shape 3066"/>
                        <wps:cNvSpPr/>
                        <wps:spPr>
                          <a:xfrm>
                            <a:off x="0" y="0"/>
                            <a:ext cx="32004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112776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  <a:lnTo>
                                  <a:pt x="320040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1" style="width:25.2pt;height:8.88pt;mso-position-horizontal-relative:char;mso-position-vertical-relative:line" coordsize="3200,1127">
                <v:shape id="Shape 3067" style="position:absolute;width:3200;height:1127;left:0;top:0;" coordsize="320040,112776" path="m0,0l320040,0l320040,112776l0,112776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  <w:r>
        <w:rPr>
          <w:b/>
          <w:sz w:val="17"/>
        </w:rPr>
        <w:tab/>
        <w:t>Total (Incl. VAT)</w:t>
      </w:r>
      <w:r>
        <w:rPr>
          <w:b/>
          <w:sz w:val="17"/>
        </w:rPr>
        <w:tab/>
        <w:t>$6 082,06</w:t>
      </w:r>
    </w:p>
    <w:p w14:paraId="2EE08CCE" w14:textId="77777777" w:rsidR="003E72E2" w:rsidRDefault="00F3304B">
      <w:pPr>
        <w:spacing w:after="206"/>
        <w:ind w:left="2"/>
      </w:pPr>
      <w:r>
        <w:rPr>
          <w:b/>
          <w:color w:val="7030A0"/>
          <w:sz w:val="17"/>
        </w:rPr>
        <w:t>PLEASE NOTE THAT ORDERS ARE TO BE FORWARDED TO admin@sarto.co.za, OR FAXED TO THE FAX NUMBER ABOVE</w:t>
      </w:r>
    </w:p>
    <w:p w14:paraId="7786768D" w14:textId="77777777" w:rsidR="003E72E2" w:rsidRDefault="00F3304B">
      <w:pPr>
        <w:spacing w:after="0"/>
        <w:ind w:left="2"/>
      </w:pPr>
      <w:r>
        <w:rPr>
          <w:rFonts w:ascii="Arial" w:eastAsia="Arial" w:hAnsi="Arial" w:cs="Arial"/>
          <w:b/>
          <w:sz w:val="15"/>
          <w:u w:val="single" w:color="000000"/>
        </w:rPr>
        <w:t>GENERAL TERMS AND CONDITIONS OF SALE</w:t>
      </w:r>
    </w:p>
    <w:p w14:paraId="7C7EF681" w14:textId="77777777" w:rsidR="003E72E2" w:rsidRDefault="00F3304B">
      <w:pPr>
        <w:spacing w:after="0"/>
        <w:ind w:left="-3" w:hanging="10"/>
      </w:pPr>
      <w:r>
        <w:rPr>
          <w:b/>
          <w:sz w:val="17"/>
          <w:u w:val="single" w:color="000000"/>
        </w:rPr>
        <w:t>Calibration of weights / mass pieces:</w:t>
      </w:r>
    </w:p>
    <w:p w14:paraId="2DC3B9A9" w14:textId="77777777" w:rsidR="003E72E2" w:rsidRDefault="00F3304B">
      <w:pPr>
        <w:numPr>
          <w:ilvl w:val="0"/>
          <w:numId w:val="1"/>
        </w:numPr>
        <w:spacing w:after="4" w:line="255" w:lineRule="auto"/>
        <w:ind w:right="56" w:hanging="122"/>
      </w:pPr>
      <w:r>
        <w:rPr>
          <w:sz w:val="14"/>
        </w:rPr>
        <w:t xml:space="preserve">In line with the ISO:17025 and SANAS regulations, next calibration due dates may not appear on the calibration certificates </w:t>
      </w:r>
      <w:proofErr w:type="gramStart"/>
      <w:r>
        <w:rPr>
          <w:sz w:val="14"/>
        </w:rPr>
        <w:t>unless  stated</w:t>
      </w:r>
      <w:proofErr w:type="gramEnd"/>
      <w:r>
        <w:rPr>
          <w:sz w:val="14"/>
        </w:rPr>
        <w:t xml:space="preserve"> by the customer in writing. Should you require this information to appear, please advise us in writing </w:t>
      </w:r>
      <w:proofErr w:type="gramStart"/>
      <w:r>
        <w:rPr>
          <w:sz w:val="14"/>
        </w:rPr>
        <w:t>and also</w:t>
      </w:r>
      <w:proofErr w:type="gramEnd"/>
      <w:r>
        <w:rPr>
          <w:sz w:val="14"/>
        </w:rPr>
        <w:t xml:space="preserve"> the required calibration interval.</w:t>
      </w:r>
    </w:p>
    <w:p w14:paraId="48B6598B" w14:textId="77777777" w:rsidR="003E72E2" w:rsidRDefault="00F3304B">
      <w:pPr>
        <w:numPr>
          <w:ilvl w:val="0"/>
          <w:numId w:val="1"/>
        </w:numPr>
        <w:spacing w:after="4" w:line="255" w:lineRule="auto"/>
        <w:ind w:right="56" w:hanging="122"/>
      </w:pPr>
      <w:r>
        <w:rPr>
          <w:sz w:val="14"/>
        </w:rPr>
        <w:t>Required calibration interim to be indicated on calibration certificate and sticker.</w:t>
      </w:r>
    </w:p>
    <w:p w14:paraId="1695F879" w14:textId="77777777" w:rsidR="003E72E2" w:rsidRDefault="00F3304B">
      <w:pPr>
        <w:numPr>
          <w:ilvl w:val="0"/>
          <w:numId w:val="1"/>
        </w:numPr>
        <w:spacing w:after="25" w:line="255" w:lineRule="auto"/>
        <w:ind w:right="56" w:hanging="122"/>
      </w:pPr>
      <w:r>
        <w:rPr>
          <w:sz w:val="14"/>
        </w:rPr>
        <w:t xml:space="preserve">By not replying to this clause, we assume that the next </w:t>
      </w:r>
      <w:proofErr w:type="spellStart"/>
      <w:r>
        <w:rPr>
          <w:sz w:val="14"/>
        </w:rPr>
        <w:t>callibration</w:t>
      </w:r>
      <w:proofErr w:type="spellEnd"/>
      <w:r>
        <w:rPr>
          <w:sz w:val="14"/>
        </w:rPr>
        <w:t xml:space="preserve"> due date is not required to reflect.  If it </w:t>
      </w:r>
      <w:proofErr w:type="gramStart"/>
      <w:r>
        <w:rPr>
          <w:sz w:val="14"/>
        </w:rPr>
        <w:t>is however</w:t>
      </w:r>
      <w:proofErr w:type="gramEnd"/>
      <w:r>
        <w:rPr>
          <w:sz w:val="14"/>
        </w:rPr>
        <w:t xml:space="preserve"> required to reflect after   we have issued calibration certificate/s, there will be a charge for re-issuing same, reflecting the next calibration due date.  </w:t>
      </w:r>
    </w:p>
    <w:p w14:paraId="1269FEAB" w14:textId="77777777" w:rsidR="003E72E2" w:rsidRDefault="00F3304B">
      <w:pPr>
        <w:spacing w:after="0"/>
        <w:ind w:left="-3" w:hanging="10"/>
      </w:pPr>
      <w:r>
        <w:rPr>
          <w:rFonts w:ascii="Arial" w:eastAsia="Arial" w:hAnsi="Arial" w:cs="Arial"/>
          <w:b/>
          <w:sz w:val="15"/>
          <w:u w:val="single" w:color="000000"/>
        </w:rPr>
        <w:t>Payment Terms:</w:t>
      </w:r>
    </w:p>
    <w:p w14:paraId="075BAF41" w14:textId="77777777" w:rsidR="003E72E2" w:rsidRDefault="00F3304B">
      <w:pPr>
        <w:numPr>
          <w:ilvl w:val="0"/>
          <w:numId w:val="1"/>
        </w:numPr>
        <w:spacing w:after="0"/>
        <w:ind w:right="56" w:hanging="122"/>
      </w:pPr>
      <w:r>
        <w:rPr>
          <w:rFonts w:ascii="Arial" w:eastAsia="Arial" w:hAnsi="Arial" w:cs="Arial"/>
          <w:b/>
          <w:sz w:val="15"/>
          <w:u w:val="single" w:color="000000"/>
        </w:rPr>
        <w:t>Customers on account are required to make payments within 30 days from the date of invoice.</w:t>
      </w:r>
    </w:p>
    <w:p w14:paraId="635F0EE0" w14:textId="77777777" w:rsidR="003E72E2" w:rsidRDefault="00F3304B">
      <w:pPr>
        <w:numPr>
          <w:ilvl w:val="0"/>
          <w:numId w:val="1"/>
        </w:numPr>
        <w:spacing w:after="1" w:line="243" w:lineRule="auto"/>
        <w:ind w:right="56" w:hanging="122"/>
      </w:pPr>
      <w:proofErr w:type="gramStart"/>
      <w:r>
        <w:rPr>
          <w:rFonts w:ascii="Arial" w:eastAsia="Arial" w:hAnsi="Arial" w:cs="Arial"/>
          <w:sz w:val="15"/>
        </w:rPr>
        <w:t>Customers</w:t>
      </w:r>
      <w:proofErr w:type="gramEnd"/>
      <w:r>
        <w:rPr>
          <w:rFonts w:ascii="Arial" w:eastAsia="Arial" w:hAnsi="Arial" w:cs="Arial"/>
          <w:sz w:val="15"/>
        </w:rPr>
        <w:t xml:space="preserve"> not on </w:t>
      </w:r>
      <w:proofErr w:type="gramStart"/>
      <w:r>
        <w:rPr>
          <w:rFonts w:ascii="Arial" w:eastAsia="Arial" w:hAnsi="Arial" w:cs="Arial"/>
          <w:sz w:val="15"/>
        </w:rPr>
        <w:t>account</w:t>
      </w:r>
      <w:proofErr w:type="gramEnd"/>
      <w:r>
        <w:rPr>
          <w:rFonts w:ascii="Arial" w:eastAsia="Arial" w:hAnsi="Arial" w:cs="Arial"/>
          <w:sz w:val="15"/>
        </w:rPr>
        <w:t xml:space="preserve"> are required to make payments on a C.O.D. basis without </w:t>
      </w:r>
      <w:proofErr w:type="gramStart"/>
      <w:r>
        <w:rPr>
          <w:rFonts w:ascii="Arial" w:eastAsia="Arial" w:hAnsi="Arial" w:cs="Arial"/>
          <w:sz w:val="15"/>
        </w:rPr>
        <w:t>exception.</w:t>
      </w:r>
      <w:r>
        <w:rPr>
          <w:rFonts w:ascii="Arial" w:eastAsia="Arial" w:hAnsi="Arial" w:cs="Arial"/>
          <w:b/>
          <w:sz w:val="15"/>
          <w:u w:val="single" w:color="000000"/>
        </w:rPr>
        <w:t>*</w:t>
      </w:r>
      <w:proofErr w:type="gramEnd"/>
      <w:r>
        <w:rPr>
          <w:rFonts w:ascii="Arial" w:eastAsia="Arial" w:hAnsi="Arial" w:cs="Arial"/>
          <w:b/>
          <w:sz w:val="15"/>
          <w:u w:val="single" w:color="000000"/>
        </w:rPr>
        <w:t xml:space="preserve"> Cheques require a </w:t>
      </w:r>
      <w:proofErr w:type="gramStart"/>
      <w:r>
        <w:rPr>
          <w:rFonts w:ascii="Arial" w:eastAsia="Arial" w:hAnsi="Arial" w:cs="Arial"/>
          <w:b/>
          <w:sz w:val="15"/>
          <w:u w:val="single" w:color="000000"/>
        </w:rPr>
        <w:t>10 day</w:t>
      </w:r>
      <w:proofErr w:type="gramEnd"/>
      <w:r>
        <w:rPr>
          <w:rFonts w:ascii="Arial" w:eastAsia="Arial" w:hAnsi="Arial" w:cs="Arial"/>
          <w:b/>
          <w:sz w:val="15"/>
          <w:u w:val="single" w:color="000000"/>
        </w:rPr>
        <w:t xml:space="preserve"> clearing period. Goods will not be released until cleared.</w:t>
      </w:r>
    </w:p>
    <w:p w14:paraId="50CAA567" w14:textId="77777777" w:rsidR="003E72E2" w:rsidRDefault="00F3304B">
      <w:pPr>
        <w:numPr>
          <w:ilvl w:val="0"/>
          <w:numId w:val="1"/>
        </w:numPr>
        <w:spacing w:after="1" w:line="243" w:lineRule="auto"/>
        <w:ind w:right="56" w:hanging="122"/>
      </w:pPr>
      <w:r>
        <w:rPr>
          <w:rFonts w:ascii="Arial" w:eastAsia="Arial" w:hAnsi="Arial" w:cs="Arial"/>
          <w:sz w:val="15"/>
        </w:rPr>
        <w:t xml:space="preserve">Deposits are to be made directly into the Sarto Mass Services company </w:t>
      </w:r>
      <w:proofErr w:type="spellStart"/>
      <w:proofErr w:type="gramStart"/>
      <w:r>
        <w:rPr>
          <w:rFonts w:ascii="Arial" w:eastAsia="Arial" w:hAnsi="Arial" w:cs="Arial"/>
          <w:sz w:val="15"/>
        </w:rPr>
        <w:t>account.</w:t>
      </w:r>
      <w:r>
        <w:rPr>
          <w:b/>
          <w:sz w:val="17"/>
          <w:u w:val="single" w:color="000000"/>
        </w:rPr>
        <w:t>General</w:t>
      </w:r>
      <w:proofErr w:type="spellEnd"/>
      <w:proofErr w:type="gramEnd"/>
      <w:r>
        <w:rPr>
          <w:b/>
          <w:sz w:val="17"/>
          <w:u w:val="single" w:color="000000"/>
        </w:rPr>
        <w:t xml:space="preserve"> Terms:</w:t>
      </w:r>
    </w:p>
    <w:p w14:paraId="09384E31" w14:textId="77777777" w:rsidR="003E72E2" w:rsidRDefault="00F3304B">
      <w:pPr>
        <w:numPr>
          <w:ilvl w:val="0"/>
          <w:numId w:val="1"/>
        </w:numPr>
        <w:spacing w:after="0"/>
        <w:ind w:right="56" w:hanging="122"/>
      </w:pPr>
      <w:r>
        <w:rPr>
          <w:b/>
          <w:sz w:val="17"/>
        </w:rPr>
        <w:t>The price quoted excludes collection / delivery charges (unless otherwise specified)</w:t>
      </w:r>
    </w:p>
    <w:p w14:paraId="501C653F" w14:textId="77777777" w:rsidR="003E72E2" w:rsidRDefault="00F3304B">
      <w:pPr>
        <w:numPr>
          <w:ilvl w:val="0"/>
          <w:numId w:val="1"/>
        </w:numPr>
        <w:spacing w:after="0"/>
        <w:ind w:right="56" w:hanging="122"/>
      </w:pPr>
      <w:r>
        <w:rPr>
          <w:b/>
          <w:sz w:val="17"/>
        </w:rPr>
        <w:t>Travel charges, where applicable, for support personnel are calculated according to the following schedule:</w:t>
      </w:r>
    </w:p>
    <w:p w14:paraId="6C650B9C" w14:textId="77777777" w:rsidR="003E72E2" w:rsidRDefault="00F3304B">
      <w:pPr>
        <w:spacing w:after="0"/>
        <w:ind w:left="-3" w:right="56" w:hanging="10"/>
      </w:pPr>
      <w:r>
        <w:rPr>
          <w:b/>
          <w:sz w:val="17"/>
        </w:rPr>
        <w:t xml:space="preserve">&gt; </w:t>
      </w:r>
      <w:proofErr w:type="gramStart"/>
      <w:r>
        <w:rPr>
          <w:b/>
          <w:sz w:val="17"/>
        </w:rPr>
        <w:t>Time @</w:t>
      </w:r>
      <w:proofErr w:type="gramEnd"/>
      <w:r>
        <w:rPr>
          <w:b/>
          <w:sz w:val="17"/>
        </w:rPr>
        <w:t xml:space="preserve"> the hourly </w:t>
      </w:r>
      <w:proofErr w:type="spellStart"/>
      <w:r>
        <w:rPr>
          <w:b/>
          <w:sz w:val="17"/>
        </w:rPr>
        <w:t>labour</w:t>
      </w:r>
      <w:proofErr w:type="spellEnd"/>
      <w:r>
        <w:rPr>
          <w:b/>
          <w:sz w:val="17"/>
        </w:rPr>
        <w:t xml:space="preserve"> rate (currently R1,280-00 per hour ex. VAT) plus R9-20 per kilometer travelled.</w:t>
      </w:r>
    </w:p>
    <w:p w14:paraId="7B7B44D2" w14:textId="77777777" w:rsidR="003E72E2" w:rsidRDefault="00F3304B">
      <w:pPr>
        <w:numPr>
          <w:ilvl w:val="0"/>
          <w:numId w:val="1"/>
        </w:numPr>
        <w:spacing w:after="0" w:line="265" w:lineRule="auto"/>
        <w:ind w:right="56" w:hanging="122"/>
      </w:pPr>
      <w:r>
        <w:rPr>
          <w:sz w:val="17"/>
        </w:rPr>
        <w:t xml:space="preserve">Please be informed that </w:t>
      </w:r>
      <w:r>
        <w:rPr>
          <w:b/>
          <w:sz w:val="17"/>
          <w:u w:val="single" w:color="000000"/>
        </w:rPr>
        <w:t xml:space="preserve">a set storage fee of R500.00 per day </w:t>
      </w:r>
      <w:r>
        <w:rPr>
          <w:sz w:val="17"/>
        </w:rPr>
        <w:t xml:space="preserve">will be payable by the consumer, </w:t>
      </w:r>
      <w:proofErr w:type="gramStart"/>
      <w:r>
        <w:rPr>
          <w:sz w:val="17"/>
        </w:rPr>
        <w:t>in the event that</w:t>
      </w:r>
      <w:proofErr w:type="gramEnd"/>
      <w:r>
        <w:rPr>
          <w:sz w:val="17"/>
        </w:rPr>
        <w:t xml:space="preserve"> items are not                  </w:t>
      </w:r>
    </w:p>
    <w:p w14:paraId="430C34E2" w14:textId="77777777" w:rsidR="003E72E2" w:rsidRDefault="00F3304B">
      <w:pPr>
        <w:spacing w:after="21"/>
      </w:pPr>
      <w:r>
        <w:rPr>
          <w:b/>
          <w:sz w:val="15"/>
          <w:u w:val="single" w:color="000000"/>
        </w:rPr>
        <w:t xml:space="preserve">Additional charges may </w:t>
      </w:r>
      <w:proofErr w:type="gramStart"/>
      <w:r>
        <w:rPr>
          <w:b/>
          <w:sz w:val="15"/>
          <w:u w:val="single" w:color="000000"/>
        </w:rPr>
        <w:t>apply,</w:t>
      </w:r>
      <w:proofErr w:type="gramEnd"/>
      <w:r>
        <w:rPr>
          <w:b/>
          <w:sz w:val="15"/>
          <w:u w:val="single" w:color="000000"/>
        </w:rPr>
        <w:t xml:space="preserve"> should Sarto Mass Services incur any unforeseen expenses </w:t>
      </w:r>
      <w:proofErr w:type="gramStart"/>
      <w:r>
        <w:rPr>
          <w:b/>
          <w:sz w:val="15"/>
          <w:u w:val="single" w:color="000000"/>
        </w:rPr>
        <w:t>as a result of</w:t>
      </w:r>
      <w:proofErr w:type="gramEnd"/>
      <w:r>
        <w:rPr>
          <w:b/>
          <w:sz w:val="15"/>
          <w:u w:val="single" w:color="000000"/>
        </w:rPr>
        <w:t xml:space="preserve"> storing such </w:t>
      </w:r>
      <w:proofErr w:type="gramStart"/>
      <w:r>
        <w:rPr>
          <w:b/>
          <w:sz w:val="15"/>
          <w:u w:val="single" w:color="000000"/>
        </w:rPr>
        <w:t>uncollected  items</w:t>
      </w:r>
      <w:proofErr w:type="gramEnd"/>
      <w:r>
        <w:rPr>
          <w:b/>
          <w:sz w:val="15"/>
          <w:u w:val="single" w:color="000000"/>
        </w:rPr>
        <w:t>.</w:t>
      </w:r>
    </w:p>
    <w:p w14:paraId="4655A109" w14:textId="77777777" w:rsidR="003E72E2" w:rsidRDefault="00F3304B">
      <w:pPr>
        <w:numPr>
          <w:ilvl w:val="0"/>
          <w:numId w:val="1"/>
        </w:numPr>
        <w:spacing w:after="0" w:line="265" w:lineRule="auto"/>
        <w:ind w:right="56" w:hanging="12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657EB8" wp14:editId="55BB2379">
                <wp:simplePos x="0" y="0"/>
                <wp:positionH relativeFrom="column">
                  <wp:posOffset>4890465</wp:posOffset>
                </wp:positionH>
                <wp:positionV relativeFrom="paragraph">
                  <wp:posOffset>4966</wp:posOffset>
                </wp:positionV>
                <wp:extent cx="1011872" cy="528815"/>
                <wp:effectExtent l="0" t="0" r="0" b="0"/>
                <wp:wrapSquare wrapText="bothSides"/>
                <wp:docPr id="2634" name="Group 2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872" cy="528815"/>
                          <a:chOff x="0" y="0"/>
                          <a:chExt cx="1011872" cy="528815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872" cy="528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872" cy="528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34" style="width:79.675pt;height:41.639pt;position:absolute;mso-position-horizontal-relative:text;mso-position-horizontal:absolute;margin-left:385.076pt;mso-position-vertical-relative:text;margin-top:0.391052pt;" coordsize="10118,5288">
                <v:shape id="Picture 180" style="position:absolute;width:10118;height:5288;left:0;top:0;" filled="f">
                  <v:imagedata r:id="rId8"/>
                </v:shape>
                <v:shape id="Picture 182" style="position:absolute;width:10118;height:5288;left:0;top:0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sz w:val="17"/>
        </w:rPr>
        <w:t>Validity</w:t>
      </w:r>
      <w:proofErr w:type="gramStart"/>
      <w:r>
        <w:rPr>
          <w:sz w:val="17"/>
        </w:rPr>
        <w:t>:  quotations</w:t>
      </w:r>
      <w:proofErr w:type="gramEnd"/>
      <w:r>
        <w:rPr>
          <w:sz w:val="17"/>
        </w:rPr>
        <w:t xml:space="preserve"> are valid for a period of 30 days from the original quotation date.</w:t>
      </w:r>
    </w:p>
    <w:p w14:paraId="5E0FB56D" w14:textId="77777777" w:rsidR="003E72E2" w:rsidRDefault="00F3304B">
      <w:pPr>
        <w:numPr>
          <w:ilvl w:val="0"/>
          <w:numId w:val="1"/>
        </w:numPr>
        <w:spacing w:after="0"/>
        <w:ind w:right="56" w:hanging="122"/>
      </w:pPr>
      <w:r>
        <w:rPr>
          <w:b/>
          <w:sz w:val="17"/>
        </w:rPr>
        <w:t xml:space="preserve">All new equipment quoted is subject to exchange rate fluctuations which are for the </w:t>
      </w:r>
      <w:proofErr w:type="gramStart"/>
      <w:r>
        <w:rPr>
          <w:b/>
          <w:sz w:val="17"/>
        </w:rPr>
        <w:t>customer's</w:t>
      </w:r>
      <w:proofErr w:type="gramEnd"/>
      <w:r>
        <w:rPr>
          <w:b/>
          <w:sz w:val="17"/>
        </w:rPr>
        <w:t xml:space="preserve"> account.</w:t>
      </w:r>
    </w:p>
    <w:p w14:paraId="1BB00AAA" w14:textId="77777777" w:rsidR="003E72E2" w:rsidRDefault="00F3304B">
      <w:pPr>
        <w:numPr>
          <w:ilvl w:val="0"/>
          <w:numId w:val="1"/>
        </w:numPr>
        <w:spacing w:after="0"/>
        <w:ind w:right="56" w:hanging="122"/>
      </w:pPr>
      <w:r>
        <w:rPr>
          <w:b/>
          <w:sz w:val="17"/>
        </w:rPr>
        <w:t xml:space="preserve">Lead times relating to factory supplied goods vary between </w:t>
      </w:r>
      <w:proofErr w:type="gramStart"/>
      <w:r>
        <w:rPr>
          <w:b/>
          <w:sz w:val="17"/>
        </w:rPr>
        <w:t>6 and 8 weeks</w:t>
      </w:r>
      <w:proofErr w:type="gramEnd"/>
      <w:r>
        <w:rPr>
          <w:b/>
          <w:sz w:val="17"/>
        </w:rPr>
        <w:t xml:space="preserve"> ex-works.</w:t>
      </w:r>
    </w:p>
    <w:p w14:paraId="4B95DD18" w14:textId="77777777" w:rsidR="003E72E2" w:rsidRDefault="00F3304B">
      <w:pPr>
        <w:numPr>
          <w:ilvl w:val="0"/>
          <w:numId w:val="1"/>
        </w:numPr>
        <w:spacing w:after="0"/>
        <w:ind w:right="56" w:hanging="122"/>
      </w:pPr>
      <w:r>
        <w:rPr>
          <w:b/>
          <w:sz w:val="17"/>
        </w:rPr>
        <w:t>Lead times on specially manufactured goods shall be specified separately.</w:t>
      </w:r>
    </w:p>
    <w:p w14:paraId="4F4FCA8B" w14:textId="77777777" w:rsidR="003E72E2" w:rsidRDefault="00F3304B">
      <w:pPr>
        <w:numPr>
          <w:ilvl w:val="0"/>
          <w:numId w:val="1"/>
        </w:numPr>
        <w:spacing w:after="0"/>
        <w:ind w:right="56" w:hanging="122"/>
      </w:pPr>
      <w:r>
        <w:rPr>
          <w:b/>
          <w:sz w:val="17"/>
          <w:u w:val="single" w:color="000000"/>
        </w:rPr>
        <w:t>New items to be supplied are subject to a 50% up front deposit should the quoted price exceed ZAR 20 000.</w:t>
      </w:r>
    </w:p>
    <w:p w14:paraId="431A14C2" w14:textId="77777777" w:rsidR="003E72E2" w:rsidRDefault="00F3304B">
      <w:pPr>
        <w:numPr>
          <w:ilvl w:val="0"/>
          <w:numId w:val="1"/>
        </w:numPr>
        <w:spacing w:after="0"/>
        <w:ind w:right="56" w:hanging="122"/>
      </w:pPr>
      <w:r>
        <w:rPr>
          <w:b/>
          <w:sz w:val="17"/>
        </w:rPr>
        <w:t xml:space="preserve">No cancellations will be accepted in respect of special-ordered goods.  If an item/s has been ordered in advance and thereafter           * By accepting this quotation, the client also accepts the Terms and Conditions of Sale of Sarto Mass Services. </w:t>
      </w:r>
    </w:p>
    <w:p w14:paraId="5A9B1D48" w14:textId="77777777" w:rsidR="003E72E2" w:rsidRDefault="00F3304B">
      <w:pPr>
        <w:numPr>
          <w:ilvl w:val="0"/>
          <w:numId w:val="1"/>
        </w:numPr>
        <w:spacing w:after="823" w:line="265" w:lineRule="auto"/>
        <w:ind w:right="56" w:hanging="122"/>
      </w:pPr>
      <w:r>
        <w:rPr>
          <w:sz w:val="17"/>
        </w:rPr>
        <w:t>It is the obligation of the client to ensure that they have read through and acknowledged the Terms of Sarto Mass Services.</w:t>
      </w:r>
    </w:p>
    <w:p w14:paraId="0BBF45F3" w14:textId="77777777" w:rsidR="003E72E2" w:rsidRDefault="00F3304B">
      <w:pPr>
        <w:spacing w:after="0"/>
        <w:ind w:left="148"/>
        <w:jc w:val="center"/>
      </w:pPr>
      <w:r>
        <w:rPr>
          <w:sz w:val="17"/>
        </w:rPr>
        <w:t xml:space="preserve">Directors:    C J Mynhardt    E L </w:t>
      </w:r>
      <w:proofErr w:type="spellStart"/>
      <w:r>
        <w:rPr>
          <w:sz w:val="17"/>
        </w:rPr>
        <w:t>Mynhardt</w:t>
      </w:r>
      <w:proofErr w:type="spellEnd"/>
    </w:p>
    <w:sectPr w:rsidR="003E72E2">
      <w:pgSz w:w="11904" w:h="16836"/>
      <w:pgMar w:top="1440" w:right="1216" w:bottom="1440" w:left="13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66409"/>
    <w:multiLevelType w:val="hybridMultilevel"/>
    <w:tmpl w:val="F9B8CC8A"/>
    <w:lvl w:ilvl="0" w:tplc="4E56B1A6">
      <w:start w:val="1"/>
      <w:numFmt w:val="bullet"/>
      <w:lvlText w:val="*"/>
      <w:lvlJc w:val="left"/>
      <w:pPr>
        <w:ind w:left="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AAA7CB2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0421C82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B087C28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D786566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84821FC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3907C7A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546C7F8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05A46B0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153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E2"/>
    <w:rsid w:val="00250108"/>
    <w:rsid w:val="002D2240"/>
    <w:rsid w:val="003D08CC"/>
    <w:rsid w:val="003E72E2"/>
    <w:rsid w:val="003F6FE5"/>
    <w:rsid w:val="00BB752D"/>
    <w:rsid w:val="00C51C1C"/>
    <w:rsid w:val="00F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50AA"/>
  <w15:docId w15:val="{316BBBB8-25F5-4040-9187-312E12AA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rto.co.z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3378</Characters>
  <Application>Microsoft Office Word</Application>
  <DocSecurity>0</DocSecurity>
  <Lines>111</Lines>
  <Paragraphs>93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Ronald Rutsinga</cp:lastModifiedBy>
  <cp:revision>4</cp:revision>
  <cp:lastPrinted>2026-04-11T11:50:00Z</cp:lastPrinted>
  <dcterms:created xsi:type="dcterms:W3CDTF">2026-04-10T10:17:00Z</dcterms:created>
  <dcterms:modified xsi:type="dcterms:W3CDTF">2026-04-11T11:50:00Z</dcterms:modified>
</cp:coreProperties>
</file>