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56D01A86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DA09DA" w:rsidRPr="00DA09DA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PROVISION OF SONIC DRILLING SERVICES FOR TAILINGS INVESTIGATION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2B964BEA" w14:textId="58938450" w:rsidR="00DA09DA" w:rsidRPr="00D36D19" w:rsidRDefault="00DA09DA" w:rsidP="00522E44">
      <w:pPr>
        <w:pStyle w:val="ListParagraph"/>
        <w:ind w:left="0"/>
        <w:rPr>
          <w:rFonts w:ascii="Arial" w:hAnsi="Arial" w:cs="Arial"/>
        </w:rPr>
      </w:pPr>
      <w:r w:rsidRPr="00DA09DA">
        <w:rPr>
          <w:rFonts w:ascii="Arial" w:hAnsi="Arial" w:cs="Arial"/>
        </w:rPr>
        <w:t>Trinity Nyakabingo Mine Ltd</w:t>
      </w:r>
      <w:r>
        <w:rPr>
          <w:rFonts w:ascii="Arial" w:hAnsi="Arial" w:cs="Arial"/>
        </w:rPr>
        <w:t xml:space="preserve">, </w:t>
      </w:r>
      <w:r w:rsidRPr="00DA09DA">
        <w:rPr>
          <w:rFonts w:ascii="Arial" w:hAnsi="Arial" w:cs="Arial"/>
        </w:rPr>
        <w:t xml:space="preserve">invites Expressions of Interest (EOI) from qualified and experienced </w:t>
      </w:r>
      <w:r>
        <w:rPr>
          <w:rFonts w:ascii="Arial" w:hAnsi="Arial" w:cs="Arial"/>
        </w:rPr>
        <w:t xml:space="preserve">Rwandan </w:t>
      </w:r>
      <w:r w:rsidRPr="00DA09DA">
        <w:rPr>
          <w:rFonts w:ascii="Arial" w:hAnsi="Arial" w:cs="Arial"/>
        </w:rPr>
        <w:t>drilling contractor to provide</w:t>
      </w:r>
      <w:r>
        <w:rPr>
          <w:rFonts w:ascii="Arial" w:hAnsi="Arial" w:cs="Arial"/>
        </w:rPr>
        <w:t xml:space="preserve"> locally sourced </w:t>
      </w:r>
      <w:r w:rsidRPr="00DA09DA">
        <w:rPr>
          <w:rFonts w:ascii="Arial" w:hAnsi="Arial" w:cs="Arial"/>
        </w:rPr>
        <w:t xml:space="preserve">Sonic Drilling Services for the investigation of historical and current tailings facilities located at Nyakabingo Mine, </w:t>
      </w:r>
      <w:r w:rsidR="0006331E">
        <w:rPr>
          <w:rFonts w:ascii="Arial" w:hAnsi="Arial" w:cs="Arial"/>
        </w:rPr>
        <w:t>Northern</w:t>
      </w:r>
      <w:r w:rsidRPr="00DA09DA">
        <w:rPr>
          <w:rFonts w:ascii="Arial" w:hAnsi="Arial" w:cs="Arial"/>
        </w:rPr>
        <w:t xml:space="preserve"> Province, Rwanda. The program aims to evaluate tailings material for potential reprocessing </w:t>
      </w:r>
      <w:r>
        <w:rPr>
          <w:rFonts w:ascii="Arial" w:hAnsi="Arial" w:cs="Arial"/>
        </w:rPr>
        <w:t xml:space="preserve">and Mineral Resource estimation </w:t>
      </w:r>
      <w:r w:rsidRPr="00DA09DA">
        <w:rPr>
          <w:rFonts w:ascii="Arial" w:hAnsi="Arial" w:cs="Arial"/>
        </w:rPr>
        <w:t>by defining remaining mineral content, understanding material distribution.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0CC7981C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r w:rsidR="00DA09DA">
        <w:rPr>
          <w:rFonts w:ascii="Arial" w:hAnsi="Arial" w:cs="Arial"/>
          <w:b/>
          <w:bCs/>
          <w:u w:val="single"/>
        </w:rPr>
        <w:t>Sonic Drilling of Tailings: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</w:t>
      </w:r>
    </w:p>
    <w:p w14:paraId="1740151B" w14:textId="541B6DF9" w:rsidR="00D220E2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</w:t>
      </w:r>
      <w:r w:rsidR="00DA09DA">
        <w:rPr>
          <w:rFonts w:ascii="Arial" w:eastAsia="Times New Roman" w:hAnsi="Arial" w:cs="Arial"/>
        </w:rPr>
        <w:t>Sonic Drilling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r w:rsid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is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7DACD5C0" w14:textId="77777777" w:rsidR="00DA09DA" w:rsidRPr="00DA09DA" w:rsidRDefault="00DA09DA" w:rsidP="00B11FBC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Mobilization and Site Establishment</w:t>
      </w:r>
    </w:p>
    <w:p w14:paraId="2B2F6977" w14:textId="4C28A65C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obilization of 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a 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sonic drilling r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ig located in Rwanda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and support </w:t>
      </w: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the transport of </w:t>
      </w: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equipment to site</w:t>
      </w:r>
    </w:p>
    <w:p w14:paraId="54EDD5B8" w14:textId="4E82EC51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Preparation of safe drill platforms on tailings areas</w:t>
      </w:r>
    </w:p>
    <w:p w14:paraId="432CC55E" w14:textId="693492A2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Compliance with site-specific Health, Safety, and Environmental (HSE) requirements</w:t>
      </w:r>
    </w:p>
    <w:p w14:paraId="279C729A" w14:textId="5856D634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Coordination with Trinity Nyakabingo technical personnel</w:t>
      </w:r>
    </w:p>
    <w:p w14:paraId="37E5546A" w14:textId="46524FCC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Sonic Drilling Operations</w:t>
      </w:r>
    </w:p>
    <w:p w14:paraId="21C417C1" w14:textId="0DE17E37" w:rsid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Demonstrated experienced sonic drilling operators and site managers</w:t>
      </w:r>
    </w:p>
    <w:p w14:paraId="1053DCB1" w14:textId="28E8275E" w:rsidR="00E332B6" w:rsidRDefault="00E332B6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Critical spares and skilled team for daily operating and use of the drill rig</w:t>
      </w:r>
    </w:p>
    <w:p w14:paraId="73E43182" w14:textId="52F5261D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Execution of a planned grid-based drilling program</w:t>
      </w:r>
    </w:p>
    <w:p w14:paraId="144C419D" w14:textId="356E077B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Continuous sampling using sonic coring techniques</w:t>
      </w:r>
      <w:r w:rsidR="00E332B6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ensuring protocols in place to ensure integrity of the cased sample</w:t>
      </w:r>
    </w:p>
    <w:p w14:paraId="4C7DE167" w14:textId="25E840B5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Drilling through soft, loose, and variably compacted tailings</w:t>
      </w:r>
    </w:p>
    <w:p w14:paraId="143CFD32" w14:textId="6156381B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Expected borehole depths ranging approximately 10 m to 40 m</w:t>
      </w:r>
    </w:p>
    <w:p w14:paraId="02CA134D" w14:textId="510B5B8D" w:rsid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Accurate recording of penetration rates, recovery, and ground conditions</w:t>
      </w:r>
    </w:p>
    <w:p w14:paraId="294E566D" w14:textId="2AADD0C9" w:rsidR="00E332B6" w:rsidRPr="00DA09DA" w:rsidRDefault="00E332B6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Accurate recording of </w:t>
      </w:r>
      <w:proofErr w:type="spellStart"/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metres</w:t>
      </w:r>
      <w:proofErr w:type="spellEnd"/>
      <w:r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drilling. </w:t>
      </w:r>
    </w:p>
    <w:p w14:paraId="1D5323ED" w14:textId="5096F267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Sampling and Core Handling</w:t>
      </w:r>
    </w:p>
    <w:p w14:paraId="1996025C" w14:textId="6A19411D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Delivery of continuous, relatively undisturbed core samples</w:t>
      </w:r>
    </w:p>
    <w:p w14:paraId="2AE543F0" w14:textId="717771F2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Proper containment using liners, sleeves, or core boxes</w:t>
      </w:r>
    </w:p>
    <w:p w14:paraId="386C10BA" w14:textId="608B9A56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Collaboration with site geologists </w:t>
      </w:r>
      <w:proofErr w:type="gramStart"/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during</w:t>
      </w:r>
      <w:proofErr w:type="gramEnd"/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logging and sampling</w:t>
      </w:r>
    </w:p>
    <w:p w14:paraId="24CA6E70" w14:textId="0B831642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Prevention of sample loss, mixing, or contamination</w:t>
      </w:r>
    </w:p>
    <w:p w14:paraId="04FB8161" w14:textId="5FF536E0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Data Recording and Reporting</w:t>
      </w:r>
    </w:p>
    <w:p w14:paraId="3F9F0CAD" w14:textId="09D89E71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Daily drilling reports including depth, recovery, and operational parameters</w:t>
      </w:r>
    </w:p>
    <w:p w14:paraId="53B629A7" w14:textId="66FDF9F1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Borehole collar survey and final depth confirmation</w:t>
      </w:r>
    </w:p>
    <w:p w14:paraId="0E68DF96" w14:textId="6A1FB835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lastRenderedPageBreak/>
        <w:t>Provision of as-drilled logs and coordinates</w:t>
      </w:r>
    </w:p>
    <w:p w14:paraId="685630E4" w14:textId="1120179F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Compliance with Trinity Nyakabingo QA/QC procedures</w:t>
      </w:r>
    </w:p>
    <w:p w14:paraId="4D9E8BE5" w14:textId="363E5730" w:rsidR="00DA09DA" w:rsidRPr="00DA09DA" w:rsidRDefault="00DA09DA" w:rsidP="00DA09DA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Demobilization and Rehabilitation</w:t>
      </w:r>
    </w:p>
    <w:p w14:paraId="5669ADB3" w14:textId="313E5C90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Removal of equipment and restoration of work areas</w:t>
      </w:r>
    </w:p>
    <w:p w14:paraId="2F39A03E" w14:textId="6AB0FD00" w:rsidR="00DA09DA" w:rsidRP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Safe sealing/abandonment of boreholes</w:t>
      </w:r>
    </w:p>
    <w:p w14:paraId="50F250F4" w14:textId="0F4B248A" w:rsidR="00DA09DA" w:rsidRDefault="00DA09DA" w:rsidP="00DA09DA">
      <w:pPr>
        <w:pStyle w:val="ListParagraph"/>
        <w:numPr>
          <w:ilvl w:val="1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A09D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Environmental compliance in line with Rwanda regulatory standards</w:t>
      </w:r>
    </w:p>
    <w:p w14:paraId="0A42B5FE" w14:textId="43A62353" w:rsidR="00EB7D9D" w:rsidRPr="00DA09DA" w:rsidRDefault="00EB7D9D" w:rsidP="00DA09DA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5E377BE" w14:textId="77777777" w:rsidR="00E332B6" w:rsidRPr="00E332B6" w:rsidRDefault="00E332B6" w:rsidP="00E332B6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Proven experience in sonic drilling in tailings, alluvial, or soft-ground environments</w:t>
      </w:r>
    </w:p>
    <w:p w14:paraId="12759F7A" w14:textId="77777777" w:rsidR="00E332B6" w:rsidRPr="00E332B6" w:rsidRDefault="00E332B6" w:rsidP="00E332B6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Availability of suitable sonic drilling rigs and tooling</w:t>
      </w:r>
    </w:p>
    <w:p w14:paraId="4573C192" w14:textId="77777777" w:rsidR="00E332B6" w:rsidRPr="00E332B6" w:rsidRDefault="00E332B6" w:rsidP="00E332B6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Experienced operators and supervisory personnel</w:t>
      </w:r>
    </w:p>
    <w:p w14:paraId="04D5C500" w14:textId="77777777" w:rsidR="00E332B6" w:rsidRPr="00E332B6" w:rsidRDefault="00E332B6" w:rsidP="00E332B6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Strong safety culture and documented HSE systems</w:t>
      </w:r>
    </w:p>
    <w:p w14:paraId="2651D1D0" w14:textId="46B87505" w:rsidR="00C0154F" w:rsidRPr="00E332B6" w:rsidRDefault="00E332B6" w:rsidP="00E332B6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E332B6">
        <w:rPr>
          <w:rFonts w:ascii="Arial" w:eastAsia="Times New Roman" w:hAnsi="Arial" w:cs="Arial"/>
        </w:rPr>
        <w:t>Ability to mobilize and operate within Rwanda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3BCFA275" w:rsidR="002E3E51" w:rsidRPr="0006331E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6331E">
        <w:rPr>
          <w:rFonts w:ascii="Arial" w:hAnsi="Arial" w:cs="Arial"/>
        </w:rPr>
        <w:t>Applicat</w:t>
      </w:r>
      <w:r w:rsidR="002E3E51" w:rsidRPr="0006331E">
        <w:rPr>
          <w:rFonts w:ascii="Arial" w:hAnsi="Arial" w:cs="Arial"/>
        </w:rPr>
        <w:t xml:space="preserve">ion </w:t>
      </w:r>
      <w:r w:rsidR="00C83C65" w:rsidRPr="0006331E">
        <w:rPr>
          <w:rFonts w:ascii="Arial" w:hAnsi="Arial" w:cs="Arial"/>
        </w:rPr>
        <w:t xml:space="preserve">Cover </w:t>
      </w:r>
      <w:r w:rsidR="002E3E51" w:rsidRPr="0006331E">
        <w:rPr>
          <w:rFonts w:ascii="Arial" w:hAnsi="Arial" w:cs="Arial"/>
        </w:rPr>
        <w:t xml:space="preserve">Letter </w:t>
      </w:r>
      <w:r w:rsidR="008C1B5E" w:rsidRPr="0006331E">
        <w:rPr>
          <w:rFonts w:ascii="Arial" w:hAnsi="Arial" w:cs="Arial"/>
        </w:rPr>
        <w:t>introducing your</w:t>
      </w:r>
      <w:r w:rsidR="00C85B8E" w:rsidRPr="0006331E">
        <w:rPr>
          <w:rFonts w:ascii="Arial" w:hAnsi="Arial" w:cs="Arial"/>
        </w:rPr>
        <w:t xml:space="preserve"> Company</w:t>
      </w:r>
      <w:r w:rsidR="00634F1D" w:rsidRPr="0006331E">
        <w:rPr>
          <w:rFonts w:ascii="Arial" w:hAnsi="Arial" w:cs="Arial"/>
        </w:rPr>
        <w:t>/Individual</w:t>
      </w:r>
      <w:r w:rsidR="007863B6" w:rsidRPr="0006331E">
        <w:rPr>
          <w:rFonts w:ascii="Arial" w:hAnsi="Arial" w:cs="Arial"/>
        </w:rPr>
        <w:t xml:space="preserve"> </w:t>
      </w:r>
      <w:r w:rsidR="00C83C65" w:rsidRPr="0006331E">
        <w:rPr>
          <w:rFonts w:ascii="Arial" w:eastAsia="Times New Roman" w:hAnsi="Arial" w:cs="Arial"/>
        </w:rPr>
        <w:t xml:space="preserve">expressing interest, availability, and </w:t>
      </w:r>
      <w:r w:rsidRPr="0006331E">
        <w:rPr>
          <w:rFonts w:ascii="Arial" w:hAnsi="Arial" w:cs="Arial"/>
        </w:rPr>
        <w:t xml:space="preserve">a brief business </w:t>
      </w:r>
      <w:r w:rsidR="00634F1D" w:rsidRPr="0006331E">
        <w:rPr>
          <w:rFonts w:ascii="Arial" w:hAnsi="Arial" w:cs="Arial"/>
        </w:rPr>
        <w:t>and experience profile including qualifications and experience</w:t>
      </w:r>
    </w:p>
    <w:p w14:paraId="0AA400BD" w14:textId="77777777" w:rsidR="00E332B6" w:rsidRPr="0006331E" w:rsidRDefault="00E332B6" w:rsidP="00E332B6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06331E">
        <w:rPr>
          <w:rFonts w:ascii="Arial" w:hAnsi="Arial" w:cs="Arial"/>
        </w:rPr>
        <w:t>Technical specifications of proposed drilling equipment</w:t>
      </w:r>
    </w:p>
    <w:p w14:paraId="4B07EBD9" w14:textId="0144BDC8" w:rsidR="00C83C65" w:rsidRPr="0006331E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331E">
        <w:rPr>
          <w:rFonts w:ascii="Arial" w:eastAsia="Times New Roman" w:hAnsi="Arial" w:cs="Arial"/>
        </w:rPr>
        <w:t xml:space="preserve">CVs of proposed personnel </w:t>
      </w:r>
      <w:proofErr w:type="gramStart"/>
      <w:r w:rsidRPr="0006331E">
        <w:rPr>
          <w:rFonts w:ascii="Arial" w:eastAsia="Times New Roman" w:hAnsi="Arial" w:cs="Arial"/>
        </w:rPr>
        <w:t>demonstrating</w:t>
      </w:r>
      <w:proofErr w:type="gramEnd"/>
      <w:r w:rsidRPr="0006331E">
        <w:rPr>
          <w:rFonts w:ascii="Arial" w:eastAsia="Times New Roman" w:hAnsi="Arial" w:cs="Arial"/>
        </w:rPr>
        <w:t xml:space="preserve"> </w:t>
      </w:r>
      <w:r w:rsidR="00E332B6" w:rsidRPr="0006331E">
        <w:rPr>
          <w:rFonts w:ascii="Arial" w:eastAsia="Times New Roman" w:hAnsi="Arial" w:cs="Arial"/>
        </w:rPr>
        <w:t>drilling experience using sonic for Mineral Resource estimation purposes.</w:t>
      </w:r>
    </w:p>
    <w:p w14:paraId="267CA8B9" w14:textId="5B3FFE9E" w:rsidR="00C83C65" w:rsidRPr="0006331E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6331E">
        <w:rPr>
          <w:rFonts w:ascii="Arial" w:eastAsia="Times New Roman" w:hAnsi="Arial" w:cs="Arial"/>
        </w:rPr>
        <w:t>Summary of qualifications and relevant experience.</w:t>
      </w:r>
    </w:p>
    <w:p w14:paraId="08C969D5" w14:textId="77777777" w:rsidR="00C01EEE" w:rsidRPr="0006331E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6331E">
        <w:rPr>
          <w:rFonts w:ascii="Arial" w:hAnsi="Arial" w:cs="Arial"/>
        </w:rPr>
        <w:t>Indicative timeframe and approach.</w:t>
      </w:r>
    </w:p>
    <w:p w14:paraId="301005A5" w14:textId="2AB05944" w:rsidR="00C01EEE" w:rsidRPr="0006331E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06331E">
        <w:rPr>
          <w:rFonts w:ascii="Arial" w:hAnsi="Arial" w:cs="Arial"/>
        </w:rPr>
        <w:t xml:space="preserve">Details of at least </w:t>
      </w:r>
      <w:r w:rsidR="00C0154F" w:rsidRPr="0006331E">
        <w:rPr>
          <w:rFonts w:ascii="Arial" w:hAnsi="Arial" w:cs="Arial"/>
        </w:rPr>
        <w:t>five</w:t>
      </w:r>
      <w:r w:rsidRPr="0006331E">
        <w:rPr>
          <w:rFonts w:ascii="Arial" w:hAnsi="Arial" w:cs="Arial"/>
        </w:rPr>
        <w:t xml:space="preserve"> similar projects undertaken in the last five years.</w:t>
      </w:r>
    </w:p>
    <w:p w14:paraId="1D51320C" w14:textId="485C5DA9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Certificate of domestic company registration issued by RDB</w:t>
      </w:r>
      <w:r w:rsidR="001F2EAC" w:rsidRPr="00D36D19">
        <w:rPr>
          <w:rFonts w:ascii="Arial" w:hAnsi="Arial" w:cs="Arial"/>
        </w:rPr>
        <w:t>.</w:t>
      </w:r>
    </w:p>
    <w:p w14:paraId="4EF9B7CF" w14:textId="1A81E707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VAT Registration</w:t>
      </w:r>
      <w:r w:rsidR="001F2EAC" w:rsidRPr="00D36D19">
        <w:rPr>
          <w:rFonts w:ascii="Arial" w:hAnsi="Arial" w:cs="Arial"/>
        </w:rPr>
        <w:t>.</w:t>
      </w:r>
    </w:p>
    <w:p w14:paraId="2D593FF6" w14:textId="77777777" w:rsidR="00E16AFA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414F4E86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667FE9">
        <w:rPr>
          <w:rFonts w:ascii="Arial" w:hAnsi="Arial" w:cs="Arial"/>
          <w:b/>
        </w:rPr>
        <w:t>5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</w:t>
      </w:r>
      <w:r w:rsidR="00667FE9">
        <w:rPr>
          <w:rFonts w:ascii="Arial" w:hAnsi="Arial" w:cs="Arial"/>
          <w:b/>
        </w:rPr>
        <w:t>March</w:t>
      </w:r>
      <w:r w:rsidR="00E83A71" w:rsidRPr="00D36D19">
        <w:rPr>
          <w:rFonts w:ascii="Arial" w:hAnsi="Arial" w:cs="Arial"/>
          <w:b/>
        </w:rPr>
        <w:t xml:space="preserve">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434281B7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667FE9">
        <w:rPr>
          <w:rFonts w:ascii="Arial" w:hAnsi="Arial" w:cs="Arial"/>
          <w:b/>
        </w:rPr>
        <w:t>5</w:t>
      </w:r>
      <w:r w:rsidR="00667FE9" w:rsidRPr="00D36D19">
        <w:rPr>
          <w:rFonts w:ascii="Arial" w:hAnsi="Arial" w:cs="Arial"/>
          <w:b/>
          <w:vertAlign w:val="superscript"/>
        </w:rPr>
        <w:t>th</w:t>
      </w:r>
      <w:r w:rsidR="00667FE9" w:rsidRPr="00D36D19">
        <w:rPr>
          <w:rFonts w:ascii="Arial" w:hAnsi="Arial" w:cs="Arial"/>
          <w:b/>
        </w:rPr>
        <w:t xml:space="preserve"> </w:t>
      </w:r>
      <w:r w:rsidR="00667FE9">
        <w:rPr>
          <w:rFonts w:ascii="Arial" w:hAnsi="Arial" w:cs="Arial"/>
          <w:b/>
        </w:rPr>
        <w:t>March</w:t>
      </w:r>
      <w:r w:rsidR="00667FE9">
        <w:rPr>
          <w:rFonts w:ascii="Arial" w:hAnsi="Arial" w:cs="Arial"/>
          <w:b/>
        </w:rPr>
        <w:t xml:space="preserve"> </w:t>
      </w:r>
      <w:r w:rsidR="00E83A71" w:rsidRPr="00D36D19">
        <w:rPr>
          <w:rFonts w:ascii="Arial" w:hAnsi="Arial" w:cs="Arial"/>
          <w:b/>
        </w:rPr>
        <w:t>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ABD0" w14:textId="77777777" w:rsidR="00D27F97" w:rsidRDefault="00D27F97" w:rsidP="00E17B9B">
      <w:pPr>
        <w:spacing w:after="0" w:line="240" w:lineRule="auto"/>
      </w:pPr>
      <w:r>
        <w:separator/>
      </w:r>
    </w:p>
  </w:endnote>
  <w:endnote w:type="continuationSeparator" w:id="0">
    <w:p w14:paraId="0D4C4593" w14:textId="77777777" w:rsidR="00D27F97" w:rsidRDefault="00D27F97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796B" w14:textId="77777777" w:rsidR="00D27F97" w:rsidRDefault="00D27F97" w:rsidP="00E17B9B">
      <w:pPr>
        <w:spacing w:after="0" w:line="240" w:lineRule="auto"/>
      </w:pPr>
      <w:r>
        <w:separator/>
      </w:r>
    </w:p>
  </w:footnote>
  <w:footnote w:type="continuationSeparator" w:id="0">
    <w:p w14:paraId="2E26D573" w14:textId="77777777" w:rsidR="00D27F97" w:rsidRDefault="00D27F97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D7B53"/>
    <w:multiLevelType w:val="multilevel"/>
    <w:tmpl w:val="0AEA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2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4"/>
  </w:num>
  <w:num w:numId="3" w16cid:durableId="1145658986">
    <w:abstractNumId w:val="12"/>
  </w:num>
  <w:num w:numId="4" w16cid:durableId="974720948">
    <w:abstractNumId w:val="0"/>
  </w:num>
  <w:num w:numId="5" w16cid:durableId="576864387">
    <w:abstractNumId w:val="25"/>
  </w:num>
  <w:num w:numId="6" w16cid:durableId="1638563745">
    <w:abstractNumId w:val="1"/>
  </w:num>
  <w:num w:numId="7" w16cid:durableId="1974173293">
    <w:abstractNumId w:val="20"/>
  </w:num>
  <w:num w:numId="8" w16cid:durableId="1502161690">
    <w:abstractNumId w:val="22"/>
  </w:num>
  <w:num w:numId="9" w16cid:durableId="1826968779">
    <w:abstractNumId w:val="21"/>
  </w:num>
  <w:num w:numId="10" w16cid:durableId="1981764799">
    <w:abstractNumId w:val="32"/>
  </w:num>
  <w:num w:numId="11" w16cid:durableId="393428577">
    <w:abstractNumId w:val="23"/>
  </w:num>
  <w:num w:numId="12" w16cid:durableId="1090076551">
    <w:abstractNumId w:val="17"/>
  </w:num>
  <w:num w:numId="13" w16cid:durableId="1494757887">
    <w:abstractNumId w:val="14"/>
  </w:num>
  <w:num w:numId="14" w16cid:durableId="1518235312">
    <w:abstractNumId w:val="5"/>
  </w:num>
  <w:num w:numId="15" w16cid:durableId="1813017033">
    <w:abstractNumId w:val="34"/>
  </w:num>
  <w:num w:numId="16" w16cid:durableId="553124309">
    <w:abstractNumId w:val="29"/>
  </w:num>
  <w:num w:numId="17" w16cid:durableId="739447125">
    <w:abstractNumId w:val="8"/>
  </w:num>
  <w:num w:numId="18" w16cid:durableId="1692223477">
    <w:abstractNumId w:val="16"/>
  </w:num>
  <w:num w:numId="19" w16cid:durableId="1253009875">
    <w:abstractNumId w:val="3"/>
  </w:num>
  <w:num w:numId="20" w16cid:durableId="2132893817">
    <w:abstractNumId w:val="13"/>
  </w:num>
  <w:num w:numId="21" w16cid:durableId="1523786711">
    <w:abstractNumId w:val="7"/>
  </w:num>
  <w:num w:numId="22" w16cid:durableId="1008406047">
    <w:abstractNumId w:val="33"/>
  </w:num>
  <w:num w:numId="23" w16cid:durableId="1398623983">
    <w:abstractNumId w:val="30"/>
  </w:num>
  <w:num w:numId="24" w16cid:durableId="1761179159">
    <w:abstractNumId w:val="2"/>
  </w:num>
  <w:num w:numId="25" w16cid:durableId="948388068">
    <w:abstractNumId w:val="11"/>
  </w:num>
  <w:num w:numId="26" w16cid:durableId="854077628">
    <w:abstractNumId w:val="9"/>
  </w:num>
  <w:num w:numId="27" w16cid:durableId="269239041">
    <w:abstractNumId w:val="18"/>
  </w:num>
  <w:num w:numId="28" w16cid:durableId="118031175">
    <w:abstractNumId w:val="10"/>
  </w:num>
  <w:num w:numId="29" w16cid:durableId="1789350955">
    <w:abstractNumId w:val="31"/>
  </w:num>
  <w:num w:numId="30" w16cid:durableId="1190146436">
    <w:abstractNumId w:val="36"/>
  </w:num>
  <w:num w:numId="31" w16cid:durableId="1363673612">
    <w:abstractNumId w:val="19"/>
  </w:num>
  <w:num w:numId="32" w16cid:durableId="1716662126">
    <w:abstractNumId w:val="26"/>
  </w:num>
  <w:num w:numId="33" w16cid:durableId="1124039327">
    <w:abstractNumId w:val="35"/>
  </w:num>
  <w:num w:numId="34" w16cid:durableId="1420953856">
    <w:abstractNumId w:val="28"/>
  </w:num>
  <w:num w:numId="35" w16cid:durableId="1400011546">
    <w:abstractNumId w:val="15"/>
  </w:num>
  <w:num w:numId="36" w16cid:durableId="1505783073">
    <w:abstractNumId w:val="27"/>
  </w:num>
  <w:num w:numId="37" w16cid:durableId="188914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6331E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454AF"/>
    <w:rsid w:val="002508F0"/>
    <w:rsid w:val="00256DF1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413BB1"/>
    <w:rsid w:val="00436AFC"/>
    <w:rsid w:val="00436E11"/>
    <w:rsid w:val="00442EAB"/>
    <w:rsid w:val="004536F4"/>
    <w:rsid w:val="004538E2"/>
    <w:rsid w:val="00461BE2"/>
    <w:rsid w:val="00466488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131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67FE9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27F97"/>
    <w:rsid w:val="00D351E6"/>
    <w:rsid w:val="00D36D19"/>
    <w:rsid w:val="00D421B0"/>
    <w:rsid w:val="00D50E0B"/>
    <w:rsid w:val="00D62C6A"/>
    <w:rsid w:val="00D63B18"/>
    <w:rsid w:val="00D64A3E"/>
    <w:rsid w:val="00D74058"/>
    <w:rsid w:val="00D856C7"/>
    <w:rsid w:val="00D90248"/>
    <w:rsid w:val="00D9289A"/>
    <w:rsid w:val="00D9394A"/>
    <w:rsid w:val="00DA09DA"/>
    <w:rsid w:val="00DF0D8E"/>
    <w:rsid w:val="00DF7661"/>
    <w:rsid w:val="00DF7D4D"/>
    <w:rsid w:val="00E00F14"/>
    <w:rsid w:val="00E03076"/>
    <w:rsid w:val="00E16AFA"/>
    <w:rsid w:val="00E17B9B"/>
    <w:rsid w:val="00E20D16"/>
    <w:rsid w:val="00E332B6"/>
    <w:rsid w:val="00E348FF"/>
    <w:rsid w:val="00E377EA"/>
    <w:rsid w:val="00E45604"/>
    <w:rsid w:val="00E476F5"/>
    <w:rsid w:val="00E500B6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463BD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Jeome Sande</cp:lastModifiedBy>
  <cp:revision>5</cp:revision>
  <cp:lastPrinted>2023-02-06T08:12:00Z</cp:lastPrinted>
  <dcterms:created xsi:type="dcterms:W3CDTF">2026-02-13T11:51:00Z</dcterms:created>
  <dcterms:modified xsi:type="dcterms:W3CDTF">2026-02-20T12:08:00Z</dcterms:modified>
</cp:coreProperties>
</file>