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5725" w14:textId="10DB5B6F" w:rsidR="00B25749" w:rsidRPr="009F63AE" w:rsidRDefault="00EE20C8" w:rsidP="00B25749">
      <w:pPr>
        <w:jc w:val="center"/>
        <w:rPr>
          <w:b/>
          <w:bCs/>
          <w:sz w:val="28"/>
          <w:szCs w:val="28"/>
          <w:u w:val="single"/>
        </w:rPr>
      </w:pPr>
      <w:r w:rsidRPr="009F63AE">
        <w:rPr>
          <w:b/>
          <w:bCs/>
          <w:sz w:val="28"/>
          <w:szCs w:val="28"/>
          <w:u w:val="single"/>
        </w:rPr>
        <w:t>T</w:t>
      </w:r>
      <w:r w:rsidR="00B25749" w:rsidRPr="009F63AE">
        <w:rPr>
          <w:b/>
          <w:bCs/>
          <w:sz w:val="28"/>
          <w:szCs w:val="28"/>
          <w:u w:val="single"/>
        </w:rPr>
        <w:t>RINITY METALS, RWANDA</w:t>
      </w:r>
    </w:p>
    <w:p w14:paraId="1A4D5CD3" w14:textId="4ACBB0A3" w:rsidR="00B25749" w:rsidRDefault="00B25749" w:rsidP="00B25749">
      <w:pPr>
        <w:jc w:val="center"/>
        <w:rPr>
          <w:b/>
          <w:bCs/>
        </w:rPr>
      </w:pPr>
      <w:r w:rsidRPr="00F873FE">
        <w:rPr>
          <w:b/>
          <w:bCs/>
        </w:rPr>
        <w:t xml:space="preserve">Terms of Reference for </w:t>
      </w:r>
      <w:r w:rsidR="00F873FE">
        <w:rPr>
          <w:b/>
          <w:bCs/>
        </w:rPr>
        <w:t xml:space="preserve">the position of </w:t>
      </w:r>
      <w:r w:rsidR="00EE20C8">
        <w:rPr>
          <w:b/>
          <w:bCs/>
        </w:rPr>
        <w:t xml:space="preserve">DFC TA </w:t>
      </w:r>
      <w:r w:rsidRPr="00F873FE">
        <w:rPr>
          <w:b/>
          <w:bCs/>
        </w:rPr>
        <w:t>GRANT MANAGER</w:t>
      </w:r>
      <w:r w:rsidR="00094097">
        <w:rPr>
          <w:b/>
          <w:bCs/>
        </w:rPr>
        <w:t xml:space="preserve"> and SOCIAL INVESTMENT ADVISOR</w:t>
      </w:r>
    </w:p>
    <w:p w14:paraId="486C9A38" w14:textId="77777777" w:rsidR="009F63AE" w:rsidRPr="00F873FE" w:rsidRDefault="009F63AE" w:rsidP="009F63AE">
      <w:pPr>
        <w:pBdr>
          <w:bottom w:val="single" w:sz="4" w:space="1" w:color="auto"/>
        </w:pBdr>
        <w:jc w:val="center"/>
        <w:rPr>
          <w:b/>
          <w:bCs/>
        </w:rPr>
      </w:pPr>
    </w:p>
    <w:p w14:paraId="4AB3965C" w14:textId="01B6C606" w:rsidR="00B25749" w:rsidRPr="00F873FE" w:rsidRDefault="00B25749" w:rsidP="00B25749">
      <w:pPr>
        <w:pStyle w:val="ListParagraph"/>
        <w:numPr>
          <w:ilvl w:val="0"/>
          <w:numId w:val="1"/>
        </w:numPr>
        <w:rPr>
          <w:b/>
          <w:bCs/>
        </w:rPr>
      </w:pPr>
      <w:r w:rsidRPr="00F873FE">
        <w:rPr>
          <w:b/>
          <w:bCs/>
        </w:rPr>
        <w:t>Preamble</w:t>
      </w:r>
    </w:p>
    <w:p w14:paraId="4032E942" w14:textId="4FC106D3" w:rsidR="00F873FE" w:rsidRDefault="00F873FE" w:rsidP="00B25749">
      <w:pPr>
        <w:ind w:left="360"/>
      </w:pPr>
      <w:r>
        <w:t xml:space="preserve">Trinity Metals Limited </w:t>
      </w:r>
      <w:r w:rsidR="009F63AE">
        <w:t xml:space="preserve">(the Company) </w:t>
      </w:r>
      <w:r>
        <w:t xml:space="preserve">is a privately owned company engaged in the mining and exploration of tin, tungsten, tantalum and lithium in Rwanda. The </w:t>
      </w:r>
      <w:r w:rsidR="008F515F">
        <w:t>Company</w:t>
      </w:r>
      <w:r>
        <w:t xml:space="preserve"> is currently developing and operating three mining complexes in Rwanda near the city of Kigali: Rutongo Mine (tin); Trinity Nyakabingo Mine (tungsten); and Trinity Musha Mine (tin and tantalum, with lithium exploration</w:t>
      </w:r>
      <w:r w:rsidR="000807CB">
        <w:t>)</w:t>
      </w:r>
      <w:r>
        <w:t xml:space="preserve">. </w:t>
      </w:r>
    </w:p>
    <w:p w14:paraId="33749B18" w14:textId="02829FEC" w:rsidR="00F873FE" w:rsidRDefault="009F63AE" w:rsidP="00B25749">
      <w:pPr>
        <w:ind w:left="360"/>
      </w:pPr>
      <w:r>
        <w:t>The Company</w:t>
      </w:r>
      <w:r w:rsidR="00F873FE">
        <w:t xml:space="preserve"> has applied to the DFC for </w:t>
      </w:r>
      <w:r w:rsidR="00F560DE">
        <w:t xml:space="preserve">$35m </w:t>
      </w:r>
      <w:r w:rsidR="00F873FE">
        <w:t>equity investment for the Project. Supplementary to the application, Trinity Metals applied to the DFC</w:t>
      </w:r>
      <w:r w:rsidR="002D5563">
        <w:t xml:space="preserve"> for pre-investment </w:t>
      </w:r>
      <w:r w:rsidR="00F873FE">
        <w:t xml:space="preserve">Technical Assistance </w:t>
      </w:r>
      <w:r w:rsidR="002D5563">
        <w:t xml:space="preserve">to assist in funding specific activities related to supporting and improving environmental and social governance at each of the three mines.   </w:t>
      </w:r>
    </w:p>
    <w:p w14:paraId="75C411FB" w14:textId="158BB1D5" w:rsidR="00B25749" w:rsidRDefault="009F63AE" w:rsidP="00B25749">
      <w:pPr>
        <w:ind w:left="360"/>
      </w:pPr>
      <w:r>
        <w:t>The Company</w:t>
      </w:r>
      <w:r w:rsidR="00B25749">
        <w:t xml:space="preserve"> entered into a </w:t>
      </w:r>
      <w:r w:rsidR="002D5563">
        <w:t xml:space="preserve">TA </w:t>
      </w:r>
      <w:r w:rsidR="00B25749">
        <w:t xml:space="preserve">Grant Agreement with the US DFC in June 2024 whereby the DFC undertook to partially fund the cost of Services in support </w:t>
      </w:r>
      <w:r w:rsidR="002D5563">
        <w:t>of the project (DFC Project Number 9000116342</w:t>
      </w:r>
      <w:r w:rsidR="00F560DE">
        <w:t xml:space="preserve">). The Grant Agreement is appended to this </w:t>
      </w:r>
      <w:proofErr w:type="spellStart"/>
      <w:r w:rsidR="00F560DE">
        <w:t>ToR</w:t>
      </w:r>
      <w:proofErr w:type="spellEnd"/>
      <w:r w:rsidR="00F560DE">
        <w:t xml:space="preserve">. </w:t>
      </w:r>
    </w:p>
    <w:p w14:paraId="008D43FB" w14:textId="6ADEF940" w:rsidR="002D5563" w:rsidRPr="000D1934" w:rsidRDefault="002D5563" w:rsidP="002D5563">
      <w:pPr>
        <w:pStyle w:val="ListParagraph"/>
        <w:numPr>
          <w:ilvl w:val="0"/>
          <w:numId w:val="1"/>
        </w:numPr>
        <w:rPr>
          <w:b/>
          <w:bCs/>
        </w:rPr>
      </w:pPr>
      <w:r w:rsidRPr="000D1934">
        <w:rPr>
          <w:b/>
          <w:bCs/>
        </w:rPr>
        <w:t>Objectives and Scope of TA Projects</w:t>
      </w:r>
    </w:p>
    <w:p w14:paraId="596B80BC" w14:textId="477E3E61" w:rsidR="000D1934" w:rsidRDefault="002D5563" w:rsidP="000D1934">
      <w:pPr>
        <w:ind w:left="360"/>
      </w:pPr>
      <w:r>
        <w:t xml:space="preserve">The scope of the projects is encompassed in the Technical Assistance Implementation Plan (TAIP), </w:t>
      </w:r>
      <w:r w:rsidR="00EE20C8">
        <w:t>included in the Grant Agreement</w:t>
      </w:r>
      <w:r>
        <w:t xml:space="preserve">.  </w:t>
      </w:r>
      <w:r w:rsidRPr="002D5563">
        <w:t xml:space="preserve">The objective of </w:t>
      </w:r>
      <w:r w:rsidR="000D1934">
        <w:t>the</w:t>
      </w:r>
      <w:r w:rsidRPr="002D5563">
        <w:t xml:space="preserve"> TA is to prepare the Grantee to receive a $35,000,000 equity investment from DFC by modernizing practices and meeting IFC performance standards. </w:t>
      </w:r>
    </w:p>
    <w:p w14:paraId="02239E5A" w14:textId="1496C0D0" w:rsidR="002D5563" w:rsidRDefault="002D5563" w:rsidP="000D1934">
      <w:pPr>
        <w:ind w:left="360"/>
      </w:pPr>
      <w:r w:rsidRPr="002D5563">
        <w:t xml:space="preserve">The TA will focus on identifying and assessing existing E&amp;S impacts and historical mine legacy </w:t>
      </w:r>
      <w:proofErr w:type="gramStart"/>
      <w:r w:rsidRPr="002D5563">
        <w:t>issues, and</w:t>
      </w:r>
      <w:proofErr w:type="gramEnd"/>
      <w:r w:rsidRPr="002D5563">
        <w:t xml:space="preserve"> developing management plans and programs to address them.</w:t>
      </w:r>
      <w:r w:rsidR="000D1934">
        <w:t xml:space="preserve"> </w:t>
      </w:r>
      <w:r w:rsidRPr="002D5563">
        <w:t>The TA will also enhance skills development and meet training needs in critical areas of the operation to support mine expansion and transformation.</w:t>
      </w:r>
      <w:r w:rsidR="000D1934">
        <w:t xml:space="preserve"> </w:t>
      </w:r>
      <w:r w:rsidRPr="002D5563">
        <w:t>DFC TA will be used to accelerate the implementation of an IFC Performance Standard-compliant and ISO-standard integrated Safety Health Environment &amp; Community (“SHEC”) Management System.</w:t>
      </w:r>
    </w:p>
    <w:p w14:paraId="1E10EC42" w14:textId="7B8A0359" w:rsidR="000D1934" w:rsidRDefault="000D1934" w:rsidP="000D1934">
      <w:pPr>
        <w:spacing w:line="259" w:lineRule="auto"/>
        <w:ind w:left="360"/>
        <w:jc w:val="both"/>
      </w:pPr>
      <w:r>
        <w:t>Key activities are as follows:</w:t>
      </w:r>
    </w:p>
    <w:p w14:paraId="18EF9A43" w14:textId="77777777" w:rsidR="000D1934" w:rsidRPr="000D1934" w:rsidRDefault="000D1934" w:rsidP="009F63AE">
      <w:pPr>
        <w:pStyle w:val="ListParagraph"/>
        <w:numPr>
          <w:ilvl w:val="0"/>
          <w:numId w:val="4"/>
        </w:numPr>
        <w:pBdr>
          <w:top w:val="nil"/>
          <w:left w:val="nil"/>
          <w:bottom w:val="nil"/>
          <w:right w:val="nil"/>
          <w:between w:val="nil"/>
        </w:pBdr>
        <w:spacing w:line="240" w:lineRule="auto"/>
        <w:ind w:left="714" w:hanging="357"/>
        <w:contextualSpacing w:val="0"/>
        <w:rPr>
          <w:rFonts w:eastAsia="Gill Sans"/>
        </w:rPr>
      </w:pPr>
      <w:r w:rsidRPr="000D1934">
        <w:rPr>
          <w:rFonts w:eastAsia="Gill Sans"/>
        </w:rPr>
        <w:t>Trinity Metals Group Skills Training and People Development</w:t>
      </w:r>
    </w:p>
    <w:p w14:paraId="3AFDC698" w14:textId="77777777" w:rsidR="000D1934" w:rsidRPr="000D1934" w:rsidRDefault="000D1934" w:rsidP="009F63AE">
      <w:pPr>
        <w:pStyle w:val="ListParagraph"/>
        <w:numPr>
          <w:ilvl w:val="0"/>
          <w:numId w:val="4"/>
        </w:numPr>
        <w:pBdr>
          <w:top w:val="nil"/>
          <w:left w:val="nil"/>
          <w:bottom w:val="nil"/>
          <w:right w:val="nil"/>
          <w:between w:val="nil"/>
        </w:pBdr>
        <w:spacing w:line="240" w:lineRule="auto"/>
        <w:ind w:left="714" w:hanging="357"/>
        <w:contextualSpacing w:val="0"/>
        <w:rPr>
          <w:rFonts w:eastAsia="Gill Sans"/>
        </w:rPr>
      </w:pPr>
      <w:r w:rsidRPr="000D1934">
        <w:rPr>
          <w:rFonts w:eastAsia="Gill Sans"/>
        </w:rPr>
        <w:t>Development and Implementation of an integrated, group-wide SHEC Management System</w:t>
      </w:r>
    </w:p>
    <w:p w14:paraId="34B88F49" w14:textId="77777777" w:rsidR="000D1934" w:rsidRPr="000D1934" w:rsidRDefault="000D1934" w:rsidP="009F63AE">
      <w:pPr>
        <w:pStyle w:val="ListParagraph"/>
        <w:numPr>
          <w:ilvl w:val="0"/>
          <w:numId w:val="4"/>
        </w:numPr>
        <w:pBdr>
          <w:top w:val="nil"/>
          <w:left w:val="nil"/>
          <w:bottom w:val="nil"/>
          <w:right w:val="nil"/>
          <w:between w:val="nil"/>
        </w:pBdr>
        <w:spacing w:line="240" w:lineRule="auto"/>
        <w:ind w:left="714" w:hanging="357"/>
        <w:contextualSpacing w:val="0"/>
        <w:rPr>
          <w:rFonts w:eastAsia="Gill Sans"/>
        </w:rPr>
      </w:pPr>
      <w:r w:rsidRPr="000D1934">
        <w:rPr>
          <w:rFonts w:eastAsia="Gill Sans"/>
        </w:rPr>
        <w:lastRenderedPageBreak/>
        <w:t>Formulation of an Integrated Development Plan (IDP) for the Rutongo Concession</w:t>
      </w:r>
    </w:p>
    <w:p w14:paraId="275DA3BC" w14:textId="77777777" w:rsidR="000D1934" w:rsidRPr="000D1934" w:rsidRDefault="000D1934" w:rsidP="009F63AE">
      <w:pPr>
        <w:pStyle w:val="ListParagraph"/>
        <w:numPr>
          <w:ilvl w:val="0"/>
          <w:numId w:val="4"/>
        </w:numPr>
        <w:pBdr>
          <w:top w:val="nil"/>
          <w:left w:val="nil"/>
          <w:bottom w:val="nil"/>
          <w:right w:val="nil"/>
          <w:between w:val="nil"/>
        </w:pBdr>
        <w:spacing w:line="240" w:lineRule="auto"/>
        <w:ind w:left="714" w:hanging="357"/>
        <w:contextualSpacing w:val="0"/>
        <w:rPr>
          <w:rFonts w:eastAsia="Gill Sans"/>
        </w:rPr>
      </w:pPr>
      <w:r w:rsidRPr="000D1934">
        <w:rPr>
          <w:rFonts w:eastAsia="Gill Sans"/>
        </w:rPr>
        <w:t>The Development of a Legacy Tailings Management and River Rehabilitation Plan for Rutongo, Musha and Nyakabingo Concessions</w:t>
      </w:r>
    </w:p>
    <w:p w14:paraId="1384C008" w14:textId="77777777" w:rsidR="000D1934" w:rsidRDefault="000D1934" w:rsidP="009F63AE">
      <w:pPr>
        <w:pStyle w:val="ListParagraph"/>
        <w:numPr>
          <w:ilvl w:val="0"/>
          <w:numId w:val="4"/>
        </w:numPr>
        <w:pBdr>
          <w:top w:val="nil"/>
          <w:left w:val="nil"/>
          <w:bottom w:val="nil"/>
          <w:right w:val="nil"/>
          <w:between w:val="nil"/>
        </w:pBdr>
        <w:spacing w:line="240" w:lineRule="auto"/>
        <w:ind w:left="714" w:hanging="357"/>
        <w:contextualSpacing w:val="0"/>
        <w:rPr>
          <w:rFonts w:eastAsia="Gill Sans"/>
        </w:rPr>
      </w:pPr>
      <w:r w:rsidRPr="000D1934">
        <w:rPr>
          <w:rFonts w:eastAsia="Gill Sans"/>
        </w:rPr>
        <w:t>Preliminary Environmental Assessment/Site Inspections for all three of the TMG mines (Rutongo, Nyakabingo and Musha)</w:t>
      </w:r>
    </w:p>
    <w:p w14:paraId="76006A68" w14:textId="0A4CACAE" w:rsidR="00F560DE" w:rsidRDefault="000D1934" w:rsidP="000D1934">
      <w:pPr>
        <w:pBdr>
          <w:top w:val="nil"/>
          <w:left w:val="nil"/>
          <w:bottom w:val="nil"/>
          <w:right w:val="nil"/>
          <w:between w:val="nil"/>
        </w:pBdr>
        <w:spacing w:line="240" w:lineRule="auto"/>
        <w:ind w:left="360"/>
      </w:pPr>
      <w:r>
        <w:t xml:space="preserve">Notwithstanding the fact that the TA Grant Agreement was signed on </w:t>
      </w:r>
      <w:r w:rsidR="00A875B4">
        <w:t>June 13,</w:t>
      </w:r>
      <w:r>
        <w:t xml:space="preserve"> 2024, significant progress has already been made on Activities 1,2 and 5</w:t>
      </w:r>
      <w:r w:rsidR="00F560DE">
        <w:t xml:space="preserve">. </w:t>
      </w:r>
    </w:p>
    <w:p w14:paraId="6F10BFDA" w14:textId="1D014CDC" w:rsidR="00F560DE" w:rsidRDefault="00A875B4" w:rsidP="000D1934">
      <w:pPr>
        <w:pBdr>
          <w:top w:val="nil"/>
          <w:left w:val="nil"/>
          <w:bottom w:val="nil"/>
          <w:right w:val="nil"/>
          <w:between w:val="nil"/>
        </w:pBdr>
        <w:spacing w:line="240" w:lineRule="auto"/>
        <w:ind w:left="360"/>
      </w:pPr>
      <w:r>
        <w:t xml:space="preserve">The estimated cost of these services is $7,730,000. </w:t>
      </w:r>
      <w:r w:rsidR="00F560DE">
        <w:t>The total value of the DFC’s contribution to the Technical Assistance is $3,865,000</w:t>
      </w:r>
      <w:r>
        <w:t xml:space="preserve"> (50%). </w:t>
      </w:r>
    </w:p>
    <w:p w14:paraId="0B2264E3" w14:textId="34ECB4F1" w:rsidR="002D5563" w:rsidRDefault="00F560DE" w:rsidP="00A875B4">
      <w:pPr>
        <w:pBdr>
          <w:top w:val="nil"/>
          <w:left w:val="nil"/>
          <w:bottom w:val="nil"/>
          <w:right w:val="nil"/>
          <w:between w:val="nil"/>
        </w:pBdr>
        <w:spacing w:line="240" w:lineRule="auto"/>
        <w:ind w:left="360"/>
      </w:pPr>
      <w:r>
        <w:t xml:space="preserve">The timeframe for the completion of the TA Project activities is </w:t>
      </w:r>
      <w:r w:rsidR="00A875B4">
        <w:t xml:space="preserve">24 months with the expected completion date being on or before June 30, 2026. </w:t>
      </w:r>
    </w:p>
    <w:p w14:paraId="403D3B2F" w14:textId="24799371" w:rsidR="00A875B4" w:rsidRDefault="00A875B4" w:rsidP="00A875B4">
      <w:pPr>
        <w:pBdr>
          <w:top w:val="nil"/>
          <w:left w:val="nil"/>
          <w:bottom w:val="nil"/>
          <w:right w:val="nil"/>
          <w:between w:val="nil"/>
        </w:pBdr>
        <w:spacing w:line="240" w:lineRule="auto"/>
        <w:ind w:left="360"/>
      </w:pPr>
      <w:r>
        <w:t xml:space="preserve">Subject to the Grant Agreement, the Company may hire third party contractors to perform all or part of the Services. </w:t>
      </w:r>
    </w:p>
    <w:p w14:paraId="4F065394" w14:textId="6EE5E2C7" w:rsidR="00806266" w:rsidRDefault="00806266" w:rsidP="00A875B4">
      <w:pPr>
        <w:pBdr>
          <w:top w:val="nil"/>
          <w:left w:val="nil"/>
          <w:bottom w:val="nil"/>
          <w:right w:val="nil"/>
          <w:between w:val="nil"/>
        </w:pBdr>
        <w:spacing w:line="240" w:lineRule="auto"/>
        <w:ind w:left="360"/>
      </w:pPr>
      <w:r>
        <w:t>In the TAIP, under Part III: Resources, the Company is required to appoint individuals who will support TA Implementation, including:</w:t>
      </w:r>
    </w:p>
    <w:p w14:paraId="654EF902" w14:textId="77777777" w:rsidR="00806266" w:rsidRDefault="00806266" w:rsidP="009F63AE">
      <w:pPr>
        <w:pStyle w:val="ListParagraph"/>
        <w:numPr>
          <w:ilvl w:val="0"/>
          <w:numId w:val="6"/>
        </w:numPr>
        <w:pBdr>
          <w:top w:val="nil"/>
          <w:left w:val="nil"/>
          <w:bottom w:val="nil"/>
          <w:right w:val="nil"/>
          <w:between w:val="nil"/>
        </w:pBdr>
        <w:spacing w:line="240" w:lineRule="auto"/>
        <w:contextualSpacing w:val="0"/>
      </w:pPr>
      <w:r>
        <w:t>Grantee General Management: Trinity Metals CEO, Peter Geleta, will be responsible for General Management</w:t>
      </w:r>
    </w:p>
    <w:p w14:paraId="2BD0D6BD" w14:textId="7A96A394" w:rsidR="00806266" w:rsidRPr="00806266" w:rsidRDefault="00806266" w:rsidP="009F63AE">
      <w:pPr>
        <w:pStyle w:val="ListParagraph"/>
        <w:numPr>
          <w:ilvl w:val="0"/>
          <w:numId w:val="6"/>
        </w:numPr>
        <w:spacing w:line="240" w:lineRule="auto"/>
        <w:ind w:left="1122" w:hanging="357"/>
        <w:contextualSpacing w:val="0"/>
        <w:rPr>
          <w:color w:val="000000"/>
        </w:rPr>
      </w:pPr>
      <w:r w:rsidRPr="00806266">
        <w:rPr>
          <w:color w:val="000000"/>
        </w:rPr>
        <w:t>Group Sustainability Manager</w:t>
      </w:r>
      <w:r>
        <w:rPr>
          <w:color w:val="000000"/>
        </w:rPr>
        <w:t xml:space="preserve">: </w:t>
      </w:r>
      <w:r>
        <w:t>Sam Ryumugabe</w:t>
      </w:r>
    </w:p>
    <w:p w14:paraId="6044157A" w14:textId="01C67B81" w:rsidR="00806266" w:rsidRPr="00806266" w:rsidRDefault="00806266" w:rsidP="009F63AE">
      <w:pPr>
        <w:pStyle w:val="ListParagraph"/>
        <w:numPr>
          <w:ilvl w:val="0"/>
          <w:numId w:val="6"/>
        </w:numPr>
        <w:pBdr>
          <w:top w:val="nil"/>
          <w:left w:val="nil"/>
          <w:bottom w:val="nil"/>
          <w:right w:val="nil"/>
          <w:between w:val="nil"/>
        </w:pBdr>
        <w:spacing w:line="240" w:lineRule="auto"/>
        <w:ind w:left="1122" w:hanging="357"/>
        <w:contextualSpacing w:val="0"/>
      </w:pPr>
      <w:r w:rsidRPr="00806266">
        <w:rPr>
          <w:color w:val="000000"/>
        </w:rPr>
        <w:t>Group ESG Consultant</w:t>
      </w:r>
      <w:r>
        <w:rPr>
          <w:color w:val="000000"/>
        </w:rPr>
        <w:t>: Joanne Daneel</w:t>
      </w:r>
    </w:p>
    <w:p w14:paraId="1F8D8407" w14:textId="58A2EBFD" w:rsidR="00806266" w:rsidRDefault="00806266" w:rsidP="00806266">
      <w:pPr>
        <w:pBdr>
          <w:top w:val="nil"/>
          <w:left w:val="nil"/>
          <w:bottom w:val="nil"/>
          <w:right w:val="nil"/>
          <w:between w:val="nil"/>
        </w:pBdr>
        <w:spacing w:line="240" w:lineRule="auto"/>
        <w:ind w:left="426"/>
      </w:pPr>
      <w:r>
        <w:t xml:space="preserve">In addition to the above, the Company will hire professional services from suitably qualified independent persons and companies to support the TA Implementation. </w:t>
      </w:r>
    </w:p>
    <w:p w14:paraId="293A3718" w14:textId="6E2BECC5" w:rsidR="00A875B4" w:rsidRPr="00806266" w:rsidRDefault="00A875B4" w:rsidP="00806266">
      <w:pPr>
        <w:pStyle w:val="ListParagraph"/>
        <w:numPr>
          <w:ilvl w:val="0"/>
          <w:numId w:val="1"/>
        </w:numPr>
        <w:pBdr>
          <w:top w:val="nil"/>
          <w:left w:val="nil"/>
          <w:bottom w:val="nil"/>
          <w:right w:val="nil"/>
          <w:between w:val="nil"/>
        </w:pBdr>
        <w:spacing w:line="240" w:lineRule="auto"/>
        <w:rPr>
          <w:b/>
          <w:bCs/>
        </w:rPr>
      </w:pPr>
      <w:r w:rsidRPr="00806266">
        <w:rPr>
          <w:b/>
          <w:bCs/>
        </w:rPr>
        <w:t>Terms of Reference</w:t>
      </w:r>
    </w:p>
    <w:p w14:paraId="1B68B105" w14:textId="1692A93A" w:rsidR="00094097" w:rsidRDefault="00806266" w:rsidP="00A875B4">
      <w:pPr>
        <w:pBdr>
          <w:top w:val="nil"/>
          <w:left w:val="nil"/>
          <w:bottom w:val="nil"/>
          <w:right w:val="nil"/>
          <w:between w:val="nil"/>
        </w:pBdr>
        <w:spacing w:line="240" w:lineRule="auto"/>
        <w:ind w:left="360"/>
      </w:pPr>
      <w:r>
        <w:t xml:space="preserve">In addition to the Grantee Team specified above, </w:t>
      </w:r>
      <w:r w:rsidR="009F63AE">
        <w:t>the Company</w:t>
      </w:r>
      <w:r>
        <w:t xml:space="preserve"> seeks to hire the services of a suitability qualified and experienced individual to</w:t>
      </w:r>
      <w:r w:rsidR="00094097">
        <w:t>:</w:t>
      </w:r>
    </w:p>
    <w:p w14:paraId="0A16B58F" w14:textId="06A9D8D2" w:rsidR="00094097" w:rsidRDefault="00094097" w:rsidP="009F63AE">
      <w:pPr>
        <w:pStyle w:val="ListParagraph"/>
        <w:numPr>
          <w:ilvl w:val="0"/>
          <w:numId w:val="8"/>
        </w:numPr>
        <w:pBdr>
          <w:top w:val="nil"/>
          <w:left w:val="nil"/>
          <w:bottom w:val="nil"/>
          <w:right w:val="nil"/>
          <w:between w:val="nil"/>
        </w:pBdr>
        <w:spacing w:line="240" w:lineRule="auto"/>
        <w:ind w:left="1122" w:hanging="357"/>
        <w:contextualSpacing w:val="0"/>
      </w:pPr>
      <w:r>
        <w:t>F</w:t>
      </w:r>
      <w:r w:rsidR="00806266">
        <w:t xml:space="preserve">ulfil the role of overall TA Grant </w:t>
      </w:r>
      <w:proofErr w:type="gramStart"/>
      <w:r w:rsidR="00806266">
        <w:t>Manager</w:t>
      </w:r>
      <w:r>
        <w:t>;</w:t>
      </w:r>
      <w:proofErr w:type="gramEnd"/>
      <w:r>
        <w:t xml:space="preserve"> </w:t>
      </w:r>
    </w:p>
    <w:p w14:paraId="42EC751D" w14:textId="3F4CFD23" w:rsidR="00094097" w:rsidRDefault="00094097" w:rsidP="009F63AE">
      <w:pPr>
        <w:pStyle w:val="ListParagraph"/>
        <w:numPr>
          <w:ilvl w:val="0"/>
          <w:numId w:val="8"/>
        </w:numPr>
        <w:pBdr>
          <w:top w:val="nil"/>
          <w:left w:val="nil"/>
          <w:bottom w:val="nil"/>
          <w:right w:val="nil"/>
          <w:between w:val="nil"/>
        </w:pBdr>
        <w:spacing w:line="240" w:lineRule="auto"/>
        <w:ind w:left="1122" w:hanging="357"/>
        <w:contextualSpacing w:val="0"/>
      </w:pPr>
      <w:r>
        <w:t xml:space="preserve">To provide specialist input into TA Activity 3 (Integrated Development Plan for Rutongo); and </w:t>
      </w:r>
    </w:p>
    <w:p w14:paraId="499D4520" w14:textId="58F75747" w:rsidR="00A875B4" w:rsidRDefault="00094097" w:rsidP="009F63AE">
      <w:pPr>
        <w:pStyle w:val="ListParagraph"/>
        <w:numPr>
          <w:ilvl w:val="0"/>
          <w:numId w:val="8"/>
        </w:numPr>
        <w:pBdr>
          <w:top w:val="nil"/>
          <w:left w:val="nil"/>
          <w:bottom w:val="nil"/>
          <w:right w:val="nil"/>
          <w:between w:val="nil"/>
        </w:pBdr>
        <w:spacing w:line="240" w:lineRule="auto"/>
        <w:ind w:left="1122" w:hanging="357"/>
        <w:contextualSpacing w:val="0"/>
      </w:pPr>
      <w:r>
        <w:t>To advise the Company on the establishment of a Trinity Foundation for social investment initiatives</w:t>
      </w:r>
      <w:r w:rsidR="00F12A74">
        <w:t>,</w:t>
      </w:r>
      <w:r>
        <w:t xml:space="preserve"> as well as identify and engage with potential SI partners.  </w:t>
      </w:r>
    </w:p>
    <w:p w14:paraId="0F71C13C" w14:textId="6A4A1F47" w:rsidR="00094097" w:rsidRPr="00094097" w:rsidRDefault="00EE20C8" w:rsidP="00A875B4">
      <w:pPr>
        <w:pBdr>
          <w:top w:val="nil"/>
          <w:left w:val="nil"/>
          <w:bottom w:val="nil"/>
          <w:right w:val="nil"/>
          <w:between w:val="nil"/>
        </w:pBdr>
        <w:spacing w:line="240" w:lineRule="auto"/>
        <w:ind w:left="360"/>
        <w:rPr>
          <w:i/>
          <w:iCs/>
        </w:rPr>
      </w:pPr>
      <w:r>
        <w:rPr>
          <w:i/>
          <w:iCs/>
        </w:rPr>
        <w:t>Tasks under the DFC TA Projects</w:t>
      </w:r>
    </w:p>
    <w:p w14:paraId="40C5AA11" w14:textId="686896E5" w:rsidR="00F9793F" w:rsidRDefault="00F9793F" w:rsidP="00A875B4">
      <w:pPr>
        <w:pBdr>
          <w:top w:val="nil"/>
          <w:left w:val="nil"/>
          <w:bottom w:val="nil"/>
          <w:right w:val="nil"/>
          <w:between w:val="nil"/>
        </w:pBdr>
        <w:spacing w:line="240" w:lineRule="auto"/>
        <w:ind w:left="360"/>
      </w:pPr>
      <w:r>
        <w:t xml:space="preserve">The Grant Manager will be required to work in close cooperation with the Grantee Team to ensure that the TA is implemented in accordance with the Grant Agreement, the TAIP. </w:t>
      </w:r>
    </w:p>
    <w:p w14:paraId="13B3A145" w14:textId="16859E87" w:rsidR="00F9793F" w:rsidRDefault="00F9793F" w:rsidP="00A875B4">
      <w:pPr>
        <w:pBdr>
          <w:top w:val="nil"/>
          <w:left w:val="nil"/>
          <w:bottom w:val="nil"/>
          <w:right w:val="nil"/>
          <w:between w:val="nil"/>
        </w:pBdr>
        <w:spacing w:line="240" w:lineRule="auto"/>
        <w:ind w:left="360"/>
      </w:pPr>
      <w:r>
        <w:lastRenderedPageBreak/>
        <w:t xml:space="preserve">The following responsibilities of the Grant Manager under the TA project are envisaged:  </w:t>
      </w:r>
    </w:p>
    <w:p w14:paraId="1F960665" w14:textId="5959F5A4" w:rsidR="00094097" w:rsidRDefault="00094097" w:rsidP="009F63AE">
      <w:pPr>
        <w:pStyle w:val="ListParagraph"/>
        <w:numPr>
          <w:ilvl w:val="0"/>
          <w:numId w:val="5"/>
        </w:numPr>
        <w:pBdr>
          <w:top w:val="nil"/>
          <w:left w:val="nil"/>
          <w:bottom w:val="nil"/>
          <w:right w:val="nil"/>
          <w:between w:val="nil"/>
        </w:pBdr>
        <w:spacing w:line="240" w:lineRule="auto"/>
        <w:ind w:hanging="357"/>
        <w:contextualSpacing w:val="0"/>
      </w:pPr>
      <w:r>
        <w:t xml:space="preserve">Participate in the development of detailed SOW for </w:t>
      </w:r>
      <w:r w:rsidR="000F7883">
        <w:t>the</w:t>
      </w:r>
      <w:r>
        <w:t xml:space="preserve"> TA </w:t>
      </w:r>
      <w:r w:rsidR="000F7883">
        <w:t>A</w:t>
      </w:r>
      <w:r>
        <w:t xml:space="preserve">ctivities, where required. </w:t>
      </w:r>
    </w:p>
    <w:p w14:paraId="73381BFA" w14:textId="33B94E5B" w:rsidR="00A875B4" w:rsidRDefault="00DD1835" w:rsidP="009F63AE">
      <w:pPr>
        <w:pStyle w:val="ListParagraph"/>
        <w:numPr>
          <w:ilvl w:val="0"/>
          <w:numId w:val="5"/>
        </w:numPr>
        <w:pBdr>
          <w:top w:val="nil"/>
          <w:left w:val="nil"/>
          <w:bottom w:val="nil"/>
          <w:right w:val="nil"/>
          <w:between w:val="nil"/>
        </w:pBdr>
        <w:spacing w:line="240" w:lineRule="auto"/>
        <w:ind w:hanging="357"/>
        <w:contextualSpacing w:val="0"/>
      </w:pPr>
      <w:r>
        <w:t xml:space="preserve">Advise </w:t>
      </w:r>
      <w:r w:rsidR="009F63AE">
        <w:t>Company</w:t>
      </w:r>
      <w:r w:rsidR="000F7883">
        <w:t xml:space="preserve"> Supply Chain Management</w:t>
      </w:r>
      <w:r w:rsidR="00094097">
        <w:t xml:space="preserve"> in the preparation of s</w:t>
      </w:r>
      <w:r w:rsidR="00A875B4">
        <w:t xml:space="preserve">ervice contracts for professional consultants engaged </w:t>
      </w:r>
      <w:r w:rsidR="00094097">
        <w:t xml:space="preserve">in the TA Implementation to ensure full alignment with the provisions of the Grant Agreement. </w:t>
      </w:r>
    </w:p>
    <w:p w14:paraId="606A0EC8" w14:textId="5C3C8215" w:rsidR="00A875B4" w:rsidRDefault="000F7883" w:rsidP="009F63AE">
      <w:pPr>
        <w:pStyle w:val="ListParagraph"/>
        <w:numPr>
          <w:ilvl w:val="0"/>
          <w:numId w:val="5"/>
        </w:numPr>
        <w:pBdr>
          <w:top w:val="nil"/>
          <w:left w:val="nil"/>
          <w:bottom w:val="nil"/>
          <w:right w:val="nil"/>
          <w:between w:val="nil"/>
        </w:pBdr>
        <w:spacing w:line="240" w:lineRule="auto"/>
        <w:ind w:hanging="357"/>
        <w:contextualSpacing w:val="0"/>
      </w:pPr>
      <w:r>
        <w:t xml:space="preserve">Assist </w:t>
      </w:r>
      <w:r w:rsidR="009F63AE">
        <w:t>Company</w:t>
      </w:r>
      <w:r>
        <w:t xml:space="preserve"> Finance </w:t>
      </w:r>
      <w:r w:rsidR="00EE20C8">
        <w:t>D</w:t>
      </w:r>
      <w:r>
        <w:t>epartment in the preparation of TA funding disbursement requests in accordance with the Grant Agreement</w:t>
      </w:r>
      <w:r w:rsidR="00EE20C8">
        <w:t>.</w:t>
      </w:r>
      <w:r>
        <w:t xml:space="preserve"> </w:t>
      </w:r>
    </w:p>
    <w:p w14:paraId="6CC0A418" w14:textId="4198DED6" w:rsidR="00F9793F" w:rsidRDefault="00DD1835" w:rsidP="009F63AE">
      <w:pPr>
        <w:pStyle w:val="ListParagraph"/>
        <w:numPr>
          <w:ilvl w:val="0"/>
          <w:numId w:val="5"/>
        </w:numPr>
        <w:pBdr>
          <w:top w:val="nil"/>
          <w:left w:val="nil"/>
          <w:bottom w:val="nil"/>
          <w:right w:val="nil"/>
          <w:between w:val="nil"/>
        </w:pBdr>
        <w:spacing w:line="240" w:lineRule="auto"/>
        <w:ind w:hanging="357"/>
        <w:contextualSpacing w:val="0"/>
      </w:pPr>
      <w:r>
        <w:t>Assist Company Finance department in t</w:t>
      </w:r>
      <w:r w:rsidR="00EE20C8">
        <w:t xml:space="preserve">racking and </w:t>
      </w:r>
      <w:r>
        <w:t>d</w:t>
      </w:r>
      <w:r w:rsidR="00EE20C8">
        <w:t xml:space="preserve">ocumentation of </w:t>
      </w:r>
      <w:r w:rsidR="009F63AE">
        <w:t>Company</w:t>
      </w:r>
      <w:r w:rsidR="00EE20C8">
        <w:t xml:space="preserve"> Cost Share.  </w:t>
      </w:r>
    </w:p>
    <w:p w14:paraId="253CFB21" w14:textId="50603B94" w:rsidR="000925F0" w:rsidRDefault="00EE20C8" w:rsidP="009F63AE">
      <w:pPr>
        <w:pStyle w:val="ListParagraph"/>
        <w:numPr>
          <w:ilvl w:val="0"/>
          <w:numId w:val="5"/>
        </w:numPr>
        <w:pBdr>
          <w:top w:val="nil"/>
          <w:left w:val="nil"/>
          <w:bottom w:val="nil"/>
          <w:right w:val="nil"/>
          <w:between w:val="nil"/>
        </w:pBdr>
        <w:spacing w:line="240" w:lineRule="auto"/>
        <w:ind w:hanging="357"/>
        <w:contextualSpacing w:val="0"/>
      </w:pPr>
      <w:r>
        <w:t>Undertaking DFC TA reporting required under the Grant Agreement, including but not limited to</w:t>
      </w:r>
      <w:r w:rsidR="000925F0">
        <w:t>:</w:t>
      </w:r>
    </w:p>
    <w:p w14:paraId="6D013E43" w14:textId="16DA80F3" w:rsidR="00F9793F" w:rsidRDefault="00EE20C8" w:rsidP="009F63AE">
      <w:pPr>
        <w:pStyle w:val="ListParagraph"/>
        <w:numPr>
          <w:ilvl w:val="1"/>
          <w:numId w:val="5"/>
        </w:numPr>
        <w:pBdr>
          <w:top w:val="nil"/>
          <w:left w:val="nil"/>
          <w:bottom w:val="nil"/>
          <w:right w:val="nil"/>
          <w:between w:val="nil"/>
        </w:pBdr>
        <w:spacing w:line="240" w:lineRule="auto"/>
        <w:ind w:left="1797" w:hanging="357"/>
      </w:pPr>
      <w:r>
        <w:t xml:space="preserve">Coordinating </w:t>
      </w:r>
      <w:r w:rsidR="00F9793F">
        <w:t xml:space="preserve">Quarterly Progress Monitoring </w:t>
      </w:r>
      <w:proofErr w:type="gramStart"/>
      <w:r w:rsidR="00F9793F">
        <w:t>meetings</w:t>
      </w:r>
      <w:r>
        <w:t>;</w:t>
      </w:r>
      <w:proofErr w:type="gramEnd"/>
      <w:r w:rsidR="00F9793F">
        <w:t xml:space="preserve"> </w:t>
      </w:r>
    </w:p>
    <w:p w14:paraId="40364E8D" w14:textId="57919822" w:rsidR="00094097" w:rsidRDefault="00094097" w:rsidP="009F63AE">
      <w:pPr>
        <w:pStyle w:val="ListParagraph"/>
        <w:numPr>
          <w:ilvl w:val="1"/>
          <w:numId w:val="5"/>
        </w:numPr>
        <w:pBdr>
          <w:top w:val="nil"/>
          <w:left w:val="nil"/>
          <w:bottom w:val="nil"/>
          <w:right w:val="nil"/>
          <w:between w:val="nil"/>
        </w:pBdr>
        <w:spacing w:line="240" w:lineRule="auto"/>
        <w:ind w:left="1797" w:hanging="357"/>
      </w:pPr>
      <w:r>
        <w:t xml:space="preserve">Reporting required under each disbursement </w:t>
      </w:r>
      <w:proofErr w:type="gramStart"/>
      <w:r>
        <w:t>request</w:t>
      </w:r>
      <w:r w:rsidR="00EE20C8">
        <w:t>;</w:t>
      </w:r>
      <w:proofErr w:type="gramEnd"/>
    </w:p>
    <w:p w14:paraId="01DC5DAF" w14:textId="45A95251" w:rsidR="000925F0" w:rsidRDefault="00EE20C8" w:rsidP="009F63AE">
      <w:pPr>
        <w:pStyle w:val="ListParagraph"/>
        <w:numPr>
          <w:ilvl w:val="1"/>
          <w:numId w:val="5"/>
        </w:numPr>
        <w:pBdr>
          <w:top w:val="nil"/>
          <w:left w:val="nil"/>
          <w:bottom w:val="nil"/>
          <w:right w:val="nil"/>
          <w:between w:val="nil"/>
        </w:pBdr>
        <w:spacing w:line="240" w:lineRule="auto"/>
        <w:ind w:left="1797" w:hanging="357"/>
      </w:pPr>
      <w:r>
        <w:t xml:space="preserve">Preparing </w:t>
      </w:r>
      <w:r w:rsidR="000925F0">
        <w:t xml:space="preserve">Annual Progress </w:t>
      </w:r>
      <w:proofErr w:type="gramStart"/>
      <w:r w:rsidR="000925F0">
        <w:t>Reports</w:t>
      </w:r>
      <w:r>
        <w:t>;</w:t>
      </w:r>
      <w:proofErr w:type="gramEnd"/>
    </w:p>
    <w:p w14:paraId="6FDD5AAF" w14:textId="4BF8E18E" w:rsidR="000925F0" w:rsidRDefault="00EE20C8" w:rsidP="009F63AE">
      <w:pPr>
        <w:pStyle w:val="ListParagraph"/>
        <w:numPr>
          <w:ilvl w:val="1"/>
          <w:numId w:val="5"/>
        </w:numPr>
        <w:pBdr>
          <w:top w:val="nil"/>
          <w:left w:val="nil"/>
          <w:bottom w:val="nil"/>
          <w:right w:val="nil"/>
          <w:between w:val="nil"/>
        </w:pBdr>
        <w:spacing w:line="240" w:lineRule="auto"/>
        <w:ind w:left="1797" w:hanging="357"/>
      </w:pPr>
      <w:r>
        <w:t xml:space="preserve">Providing </w:t>
      </w:r>
      <w:r w:rsidR="000925F0">
        <w:t>Financial Statements</w:t>
      </w:r>
      <w:r w:rsidR="00DD1835">
        <w:t xml:space="preserve"> with the input and assistance from the Trinity Financial </w:t>
      </w:r>
      <w:proofErr w:type="gramStart"/>
      <w:r w:rsidR="00DD1835">
        <w:t>department;</w:t>
      </w:r>
      <w:proofErr w:type="gramEnd"/>
    </w:p>
    <w:p w14:paraId="541E06C6" w14:textId="4D5BBB74" w:rsidR="000925F0" w:rsidRDefault="000925F0" w:rsidP="009F63AE">
      <w:pPr>
        <w:pStyle w:val="ListParagraph"/>
        <w:numPr>
          <w:ilvl w:val="1"/>
          <w:numId w:val="5"/>
        </w:numPr>
        <w:pBdr>
          <w:top w:val="nil"/>
          <w:left w:val="nil"/>
          <w:bottom w:val="nil"/>
          <w:right w:val="nil"/>
          <w:between w:val="nil"/>
        </w:pBdr>
        <w:spacing w:line="240" w:lineRule="auto"/>
        <w:ind w:left="1797" w:hanging="357"/>
      </w:pPr>
      <w:r>
        <w:t>Cost Share Documentation</w:t>
      </w:r>
      <w:r w:rsidR="00EE20C8">
        <w:t xml:space="preserve"> and Reporting</w:t>
      </w:r>
    </w:p>
    <w:p w14:paraId="776D4140" w14:textId="746BF824" w:rsidR="000925F0" w:rsidRDefault="00EE20C8" w:rsidP="009F63AE">
      <w:pPr>
        <w:pStyle w:val="ListParagraph"/>
        <w:numPr>
          <w:ilvl w:val="1"/>
          <w:numId w:val="5"/>
        </w:numPr>
        <w:pBdr>
          <w:top w:val="nil"/>
          <w:left w:val="nil"/>
          <w:bottom w:val="nil"/>
          <w:right w:val="nil"/>
          <w:between w:val="nil"/>
        </w:pBdr>
        <w:spacing w:line="240" w:lineRule="auto"/>
        <w:ind w:hanging="357"/>
        <w:contextualSpacing w:val="0"/>
      </w:pPr>
      <w:r>
        <w:t xml:space="preserve">Preparation of </w:t>
      </w:r>
      <w:r w:rsidR="000925F0">
        <w:t xml:space="preserve">Final </w:t>
      </w:r>
      <w:r>
        <w:t xml:space="preserve">TA </w:t>
      </w:r>
      <w:r w:rsidR="000925F0">
        <w:t>Report</w:t>
      </w:r>
    </w:p>
    <w:p w14:paraId="6D519975" w14:textId="6D1B63BA" w:rsidR="00F9793F" w:rsidRDefault="00F9793F" w:rsidP="009F63AE">
      <w:pPr>
        <w:pStyle w:val="ListParagraph"/>
        <w:numPr>
          <w:ilvl w:val="0"/>
          <w:numId w:val="5"/>
        </w:numPr>
        <w:pBdr>
          <w:top w:val="nil"/>
          <w:left w:val="nil"/>
          <w:bottom w:val="nil"/>
          <w:right w:val="nil"/>
          <w:between w:val="nil"/>
        </w:pBdr>
        <w:spacing w:line="240" w:lineRule="auto"/>
        <w:ind w:hanging="357"/>
        <w:contextualSpacing w:val="0"/>
      </w:pPr>
      <w:r>
        <w:t>Tracking and reporting of M&amp;E Metrics as defined in the TAIP</w:t>
      </w:r>
      <w:r w:rsidR="00EE20C8">
        <w:t>.</w:t>
      </w:r>
    </w:p>
    <w:p w14:paraId="260BEB8A" w14:textId="19876667" w:rsidR="00EE20C8" w:rsidRPr="00EE20C8" w:rsidRDefault="00EE20C8" w:rsidP="00EE20C8">
      <w:pPr>
        <w:pBdr>
          <w:top w:val="nil"/>
          <w:left w:val="nil"/>
          <w:bottom w:val="nil"/>
          <w:right w:val="nil"/>
          <w:between w:val="nil"/>
        </w:pBdr>
        <w:spacing w:line="240" w:lineRule="auto"/>
        <w:ind w:left="360"/>
      </w:pPr>
      <w:r>
        <w:t xml:space="preserve">In addition to undertaking the overall Grant Management function, additional services under the Activity 3 (Integrated Development Plan for Rutongo) </w:t>
      </w:r>
      <w:r w:rsidR="00815551">
        <w:t xml:space="preserve">are envisaged. The full scope and scale of these services will be defined in the detailed SOW for this activity. </w:t>
      </w:r>
    </w:p>
    <w:p w14:paraId="48DAC581" w14:textId="4CFC2829" w:rsidR="00EE20C8" w:rsidRDefault="00815551" w:rsidP="008F515F">
      <w:pPr>
        <w:ind w:left="426"/>
        <w:rPr>
          <w:i/>
          <w:iCs/>
        </w:rPr>
      </w:pPr>
      <w:r>
        <w:rPr>
          <w:i/>
          <w:iCs/>
        </w:rPr>
        <w:t>Social Investment assistance and advice</w:t>
      </w:r>
    </w:p>
    <w:p w14:paraId="0F4DE1E5" w14:textId="04C45843" w:rsidR="00815551" w:rsidRDefault="009F63AE" w:rsidP="008F515F">
      <w:pPr>
        <w:ind w:left="426"/>
      </w:pPr>
      <w:r>
        <w:t>The Company</w:t>
      </w:r>
      <w:r w:rsidR="00815551">
        <w:t xml:space="preserve"> is considering the formation of an independent Foundation which will facilitate social investment in our affected environments and communities. Social investment, while diverse and highly impactful in some instances, has until recently been undertaken in an unstructured and ad hoc manner.</w:t>
      </w:r>
    </w:p>
    <w:p w14:paraId="31DF7EC2" w14:textId="2C2B1548" w:rsidR="006C2802" w:rsidRDefault="00815551" w:rsidP="008F515F">
      <w:pPr>
        <w:ind w:left="426"/>
      </w:pPr>
      <w:r>
        <w:t xml:space="preserve">The </w:t>
      </w:r>
      <w:r w:rsidR="009F63AE">
        <w:t>C</w:t>
      </w:r>
      <w:r>
        <w:t xml:space="preserve">ompany is looking to set aside designated funds for specific SI projects within our concession areas. It is also anticipated that the TA Projects – in particular the Integrated Development Plans – will </w:t>
      </w:r>
      <w:r w:rsidR="006C2802">
        <w:t xml:space="preserve">identify further opportunities for meaningful and sustainable social investment in our project affected communities. Trinity would like to explore the opportunity to partner with other funding agencies in supporting such initiatives, with an emphasis on building social and ecological resilience in our project affected areas, and exploring and developing alternative livelihood strategies. </w:t>
      </w:r>
    </w:p>
    <w:p w14:paraId="71A76576" w14:textId="77777777" w:rsidR="006C2802" w:rsidRDefault="006C2802" w:rsidP="008F515F">
      <w:pPr>
        <w:ind w:left="426"/>
      </w:pPr>
      <w:r>
        <w:lastRenderedPageBreak/>
        <w:t>To this end, we require the following services:</w:t>
      </w:r>
    </w:p>
    <w:p w14:paraId="3757BFAF" w14:textId="2580FF04" w:rsidR="00815551" w:rsidRDefault="006C2802" w:rsidP="009F63AE">
      <w:pPr>
        <w:pStyle w:val="ListParagraph"/>
        <w:numPr>
          <w:ilvl w:val="0"/>
          <w:numId w:val="11"/>
        </w:numPr>
        <w:ind w:left="1145" w:hanging="357"/>
        <w:contextualSpacing w:val="0"/>
      </w:pPr>
      <w:r>
        <w:t xml:space="preserve">Direction and support in the establishment of Trinity </w:t>
      </w:r>
      <w:proofErr w:type="gramStart"/>
      <w:r>
        <w:t>Foundation;</w:t>
      </w:r>
      <w:proofErr w:type="gramEnd"/>
    </w:p>
    <w:p w14:paraId="583FCA7A" w14:textId="215C28F4" w:rsidR="006C2802" w:rsidRDefault="006C2802" w:rsidP="009F63AE">
      <w:pPr>
        <w:pStyle w:val="ListParagraph"/>
        <w:numPr>
          <w:ilvl w:val="0"/>
          <w:numId w:val="11"/>
        </w:numPr>
        <w:ind w:left="1145" w:hanging="357"/>
        <w:contextualSpacing w:val="0"/>
      </w:pPr>
      <w:r>
        <w:t xml:space="preserve">Mapping of </w:t>
      </w:r>
      <w:r w:rsidR="00C852CF">
        <w:t xml:space="preserve">suitable and </w:t>
      </w:r>
      <w:r>
        <w:t>potential funding partners and other role players in the donor funding space</w:t>
      </w:r>
      <w:r w:rsidR="00C852CF">
        <w:t xml:space="preserve"> both</w:t>
      </w:r>
      <w:r>
        <w:t xml:space="preserve"> in Rwanda</w:t>
      </w:r>
      <w:r w:rsidR="00C852CF">
        <w:t>, and globally; and</w:t>
      </w:r>
    </w:p>
    <w:p w14:paraId="631F87F3" w14:textId="14ECC169" w:rsidR="00C852CF" w:rsidRDefault="00C852CF" w:rsidP="009F63AE">
      <w:pPr>
        <w:pStyle w:val="ListParagraph"/>
        <w:numPr>
          <w:ilvl w:val="0"/>
          <w:numId w:val="11"/>
        </w:numPr>
        <w:ind w:left="1145" w:hanging="357"/>
        <w:contextualSpacing w:val="0"/>
      </w:pPr>
      <w:r>
        <w:t xml:space="preserve">Together with </w:t>
      </w:r>
      <w:r w:rsidR="009F63AE">
        <w:t>Company</w:t>
      </w:r>
      <w:r>
        <w:t xml:space="preserve"> Management, to engage with potential funding agencies for the co-funding of key projects within our project affected communities. </w:t>
      </w:r>
    </w:p>
    <w:p w14:paraId="0588617E" w14:textId="6A62EEA9" w:rsidR="00C852CF" w:rsidRDefault="00C852CF" w:rsidP="008F515F">
      <w:pPr>
        <w:pStyle w:val="ListParagraph"/>
        <w:numPr>
          <w:ilvl w:val="0"/>
          <w:numId w:val="1"/>
        </w:numPr>
        <w:ind w:left="426"/>
        <w:rPr>
          <w:b/>
          <w:bCs/>
        </w:rPr>
      </w:pPr>
      <w:r w:rsidRPr="00C852CF">
        <w:rPr>
          <w:b/>
          <w:bCs/>
        </w:rPr>
        <w:t>Terms of Contract</w:t>
      </w:r>
    </w:p>
    <w:p w14:paraId="1B2FFB09" w14:textId="4D74642B" w:rsidR="00C852CF" w:rsidRDefault="00C852CF" w:rsidP="008F515F">
      <w:pPr>
        <w:ind w:left="426"/>
      </w:pPr>
      <w:r>
        <w:t xml:space="preserve">The duration of the contract will coincide with the duration of the TA Project, i.e. 24 months. </w:t>
      </w:r>
    </w:p>
    <w:p w14:paraId="7769D468" w14:textId="23E11733" w:rsidR="00C4410E" w:rsidRDefault="00C852CF" w:rsidP="008F515F">
      <w:pPr>
        <w:ind w:left="426"/>
      </w:pPr>
      <w:r>
        <w:t>The appointment is part-time</w:t>
      </w:r>
      <w:r w:rsidR="00F12A74">
        <w:t>, with appointee reimbursed</w:t>
      </w:r>
      <w:r>
        <w:t xml:space="preserve"> </w:t>
      </w:r>
      <w:r w:rsidR="00F12A74">
        <w:t xml:space="preserve">according to </w:t>
      </w:r>
      <w:r w:rsidR="00DD1835">
        <w:t>a</w:t>
      </w:r>
      <w:r w:rsidR="00F12A74">
        <w:t xml:space="preserve"> daily rate</w:t>
      </w:r>
      <w:r w:rsidR="00DD1835">
        <w:t xml:space="preserve"> of $600</w:t>
      </w:r>
      <w:r w:rsidR="00F12A74">
        <w:t xml:space="preserve"> </w:t>
      </w:r>
      <w:r w:rsidR="00C4410E">
        <w:t xml:space="preserve">It is envisaged that an average </w:t>
      </w:r>
      <w:r w:rsidR="00C4410E" w:rsidRPr="008F515F">
        <w:t xml:space="preserve">of </w:t>
      </w:r>
      <w:r w:rsidR="00C4410E">
        <w:t xml:space="preserve">ten (10) days / month will be required.  Travel within Rwanda will be provided Trinity. Payments will be made on a monthly basis on submission of an invoice and timesheet and other supporting documentation. </w:t>
      </w:r>
    </w:p>
    <w:p w14:paraId="05694076" w14:textId="09FAD92A" w:rsidR="00F12A74" w:rsidRDefault="00F12A74" w:rsidP="008F515F">
      <w:pPr>
        <w:ind w:left="426"/>
      </w:pPr>
      <w:r>
        <w:t xml:space="preserve">The full scale of the services and the time required to fulfil the duties outlined above will be discussed and defined on appointment. </w:t>
      </w:r>
    </w:p>
    <w:p w14:paraId="6FD6BEBC" w14:textId="4E82C3E8" w:rsidR="00F12A74" w:rsidRDefault="00F12A74" w:rsidP="008F515F">
      <w:pPr>
        <w:ind w:left="426"/>
      </w:pPr>
    </w:p>
    <w:p w14:paraId="2A452ED9" w14:textId="57B02BED" w:rsidR="00C852CF" w:rsidRPr="00C852CF" w:rsidRDefault="00F12A74" w:rsidP="00C852CF">
      <w:pPr>
        <w:ind w:left="426"/>
      </w:pPr>
      <w:r>
        <w:t xml:space="preserve">  </w:t>
      </w:r>
      <w:r w:rsidR="00C852CF">
        <w:t xml:space="preserve">  </w:t>
      </w:r>
    </w:p>
    <w:sectPr w:rsidR="00C852CF" w:rsidRPr="00C85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8CC"/>
    <w:multiLevelType w:val="hybridMultilevel"/>
    <w:tmpl w:val="68448F7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BE91ACC"/>
    <w:multiLevelType w:val="hybridMultilevel"/>
    <w:tmpl w:val="B7ACC0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E618FA"/>
    <w:multiLevelType w:val="hybridMultilevel"/>
    <w:tmpl w:val="F1F2858A"/>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3" w15:restartNumberingAfterBreak="0">
    <w:nsid w:val="26FE157A"/>
    <w:multiLevelType w:val="hybridMultilevel"/>
    <w:tmpl w:val="986603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842D8E"/>
    <w:multiLevelType w:val="hybridMultilevel"/>
    <w:tmpl w:val="0634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D5C99"/>
    <w:multiLevelType w:val="hybridMultilevel"/>
    <w:tmpl w:val="39D05248"/>
    <w:lvl w:ilvl="0" w:tplc="1C090001">
      <w:start w:val="1"/>
      <w:numFmt w:val="bullet"/>
      <w:lvlText w:val=""/>
      <w:lvlJc w:val="left"/>
      <w:pPr>
        <w:ind w:left="915" w:hanging="360"/>
      </w:pPr>
      <w:rPr>
        <w:rFonts w:ascii="Symbol" w:hAnsi="Symbol" w:hint="default"/>
      </w:rPr>
    </w:lvl>
    <w:lvl w:ilvl="1" w:tplc="1C090003" w:tentative="1">
      <w:start w:val="1"/>
      <w:numFmt w:val="bullet"/>
      <w:lvlText w:val="o"/>
      <w:lvlJc w:val="left"/>
      <w:pPr>
        <w:ind w:left="1635" w:hanging="360"/>
      </w:pPr>
      <w:rPr>
        <w:rFonts w:ascii="Courier New" w:hAnsi="Courier New" w:cs="Courier New" w:hint="default"/>
      </w:rPr>
    </w:lvl>
    <w:lvl w:ilvl="2" w:tplc="1C090005" w:tentative="1">
      <w:start w:val="1"/>
      <w:numFmt w:val="bullet"/>
      <w:lvlText w:val=""/>
      <w:lvlJc w:val="left"/>
      <w:pPr>
        <w:ind w:left="2355" w:hanging="360"/>
      </w:pPr>
      <w:rPr>
        <w:rFonts w:ascii="Wingdings" w:hAnsi="Wingdings" w:hint="default"/>
      </w:rPr>
    </w:lvl>
    <w:lvl w:ilvl="3" w:tplc="1C090001" w:tentative="1">
      <w:start w:val="1"/>
      <w:numFmt w:val="bullet"/>
      <w:lvlText w:val=""/>
      <w:lvlJc w:val="left"/>
      <w:pPr>
        <w:ind w:left="3075" w:hanging="360"/>
      </w:pPr>
      <w:rPr>
        <w:rFonts w:ascii="Symbol" w:hAnsi="Symbol" w:hint="default"/>
      </w:rPr>
    </w:lvl>
    <w:lvl w:ilvl="4" w:tplc="1C090003" w:tentative="1">
      <w:start w:val="1"/>
      <w:numFmt w:val="bullet"/>
      <w:lvlText w:val="o"/>
      <w:lvlJc w:val="left"/>
      <w:pPr>
        <w:ind w:left="3795" w:hanging="360"/>
      </w:pPr>
      <w:rPr>
        <w:rFonts w:ascii="Courier New" w:hAnsi="Courier New" w:cs="Courier New" w:hint="default"/>
      </w:rPr>
    </w:lvl>
    <w:lvl w:ilvl="5" w:tplc="1C090005" w:tentative="1">
      <w:start w:val="1"/>
      <w:numFmt w:val="bullet"/>
      <w:lvlText w:val=""/>
      <w:lvlJc w:val="left"/>
      <w:pPr>
        <w:ind w:left="4515" w:hanging="360"/>
      </w:pPr>
      <w:rPr>
        <w:rFonts w:ascii="Wingdings" w:hAnsi="Wingdings" w:hint="default"/>
      </w:rPr>
    </w:lvl>
    <w:lvl w:ilvl="6" w:tplc="1C090001" w:tentative="1">
      <w:start w:val="1"/>
      <w:numFmt w:val="bullet"/>
      <w:lvlText w:val=""/>
      <w:lvlJc w:val="left"/>
      <w:pPr>
        <w:ind w:left="5235" w:hanging="360"/>
      </w:pPr>
      <w:rPr>
        <w:rFonts w:ascii="Symbol" w:hAnsi="Symbol" w:hint="default"/>
      </w:rPr>
    </w:lvl>
    <w:lvl w:ilvl="7" w:tplc="1C090003" w:tentative="1">
      <w:start w:val="1"/>
      <w:numFmt w:val="bullet"/>
      <w:lvlText w:val="o"/>
      <w:lvlJc w:val="left"/>
      <w:pPr>
        <w:ind w:left="5955" w:hanging="360"/>
      </w:pPr>
      <w:rPr>
        <w:rFonts w:ascii="Courier New" w:hAnsi="Courier New" w:cs="Courier New" w:hint="default"/>
      </w:rPr>
    </w:lvl>
    <w:lvl w:ilvl="8" w:tplc="1C090005" w:tentative="1">
      <w:start w:val="1"/>
      <w:numFmt w:val="bullet"/>
      <w:lvlText w:val=""/>
      <w:lvlJc w:val="left"/>
      <w:pPr>
        <w:ind w:left="6675" w:hanging="360"/>
      </w:pPr>
      <w:rPr>
        <w:rFonts w:ascii="Wingdings" w:hAnsi="Wingdings" w:hint="default"/>
      </w:rPr>
    </w:lvl>
  </w:abstractNum>
  <w:abstractNum w:abstractNumId="6" w15:restartNumberingAfterBreak="0">
    <w:nsid w:val="52D90703"/>
    <w:multiLevelType w:val="hybridMultilevel"/>
    <w:tmpl w:val="710A02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708B50CD"/>
    <w:multiLevelType w:val="hybridMultilevel"/>
    <w:tmpl w:val="09F0AE6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 w15:restartNumberingAfterBreak="0">
    <w:nsid w:val="742F7097"/>
    <w:multiLevelType w:val="hybridMultilevel"/>
    <w:tmpl w:val="1E1A172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55AEA"/>
    <w:multiLevelType w:val="hybridMultilevel"/>
    <w:tmpl w:val="2104E476"/>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10" w15:restartNumberingAfterBreak="0">
    <w:nsid w:val="7C7E33DB"/>
    <w:multiLevelType w:val="hybridMultilevel"/>
    <w:tmpl w:val="4C62E3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21437928">
    <w:abstractNumId w:val="1"/>
  </w:num>
  <w:num w:numId="2" w16cid:durableId="1048803937">
    <w:abstractNumId w:val="4"/>
  </w:num>
  <w:num w:numId="3" w16cid:durableId="189419840">
    <w:abstractNumId w:val="6"/>
  </w:num>
  <w:num w:numId="4" w16cid:durableId="491875721">
    <w:abstractNumId w:val="3"/>
  </w:num>
  <w:num w:numId="5" w16cid:durableId="870609257">
    <w:abstractNumId w:val="0"/>
  </w:num>
  <w:num w:numId="6" w16cid:durableId="161971932">
    <w:abstractNumId w:val="2"/>
  </w:num>
  <w:num w:numId="7" w16cid:durableId="2039818044">
    <w:abstractNumId w:val="8"/>
  </w:num>
  <w:num w:numId="8" w16cid:durableId="1806580121">
    <w:abstractNumId w:val="9"/>
  </w:num>
  <w:num w:numId="9" w16cid:durableId="117652099">
    <w:abstractNumId w:val="10"/>
  </w:num>
  <w:num w:numId="10" w16cid:durableId="1027683755">
    <w:abstractNumId w:val="5"/>
  </w:num>
  <w:num w:numId="11" w16cid:durableId="73205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49"/>
    <w:rsid w:val="00043582"/>
    <w:rsid w:val="000807CB"/>
    <w:rsid w:val="000925F0"/>
    <w:rsid w:val="00094097"/>
    <w:rsid w:val="000D1934"/>
    <w:rsid w:val="000E7F83"/>
    <w:rsid w:val="000F7883"/>
    <w:rsid w:val="00120E6E"/>
    <w:rsid w:val="0026597E"/>
    <w:rsid w:val="002B44B7"/>
    <w:rsid w:val="002D5563"/>
    <w:rsid w:val="00365A67"/>
    <w:rsid w:val="00474942"/>
    <w:rsid w:val="00535A3B"/>
    <w:rsid w:val="005B32D9"/>
    <w:rsid w:val="005C29AC"/>
    <w:rsid w:val="006C2802"/>
    <w:rsid w:val="00806266"/>
    <w:rsid w:val="00815551"/>
    <w:rsid w:val="00847E22"/>
    <w:rsid w:val="008F515F"/>
    <w:rsid w:val="009E3988"/>
    <w:rsid w:val="009F63AE"/>
    <w:rsid w:val="00A60508"/>
    <w:rsid w:val="00A875B4"/>
    <w:rsid w:val="00A9285E"/>
    <w:rsid w:val="00B25749"/>
    <w:rsid w:val="00BF2FAF"/>
    <w:rsid w:val="00C4410E"/>
    <w:rsid w:val="00C852CF"/>
    <w:rsid w:val="00DD1835"/>
    <w:rsid w:val="00E3519D"/>
    <w:rsid w:val="00EE20C8"/>
    <w:rsid w:val="00EF1EAD"/>
    <w:rsid w:val="00F0085D"/>
    <w:rsid w:val="00F12A74"/>
    <w:rsid w:val="00F560DE"/>
    <w:rsid w:val="00F873FE"/>
    <w:rsid w:val="00F979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497B"/>
  <w15:chartTrackingRefBased/>
  <w15:docId w15:val="{9C2C0EA9-E933-4324-891D-9CB869DE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749"/>
    <w:rPr>
      <w:rFonts w:eastAsiaTheme="majorEastAsia" w:cstheme="majorBidi"/>
      <w:color w:val="272727" w:themeColor="text1" w:themeTint="D8"/>
    </w:rPr>
  </w:style>
  <w:style w:type="paragraph" w:styleId="Title">
    <w:name w:val="Title"/>
    <w:basedOn w:val="Normal"/>
    <w:next w:val="Normal"/>
    <w:link w:val="TitleChar"/>
    <w:uiPriority w:val="10"/>
    <w:qFormat/>
    <w:rsid w:val="00B25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749"/>
    <w:pPr>
      <w:spacing w:before="160"/>
      <w:jc w:val="center"/>
    </w:pPr>
    <w:rPr>
      <w:i/>
      <w:iCs/>
      <w:color w:val="404040" w:themeColor="text1" w:themeTint="BF"/>
    </w:rPr>
  </w:style>
  <w:style w:type="character" w:customStyle="1" w:styleId="QuoteChar">
    <w:name w:val="Quote Char"/>
    <w:basedOn w:val="DefaultParagraphFont"/>
    <w:link w:val="Quote"/>
    <w:uiPriority w:val="29"/>
    <w:rsid w:val="00B25749"/>
    <w:rPr>
      <w:i/>
      <w:iCs/>
      <w:color w:val="404040" w:themeColor="text1" w:themeTint="BF"/>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B25749"/>
    <w:pPr>
      <w:ind w:left="720"/>
      <w:contextualSpacing/>
    </w:pPr>
  </w:style>
  <w:style w:type="character" w:styleId="IntenseEmphasis">
    <w:name w:val="Intense Emphasis"/>
    <w:basedOn w:val="DefaultParagraphFont"/>
    <w:uiPriority w:val="21"/>
    <w:qFormat/>
    <w:rsid w:val="00B25749"/>
    <w:rPr>
      <w:i/>
      <w:iCs/>
      <w:color w:val="0F4761" w:themeColor="accent1" w:themeShade="BF"/>
    </w:rPr>
  </w:style>
  <w:style w:type="paragraph" w:styleId="IntenseQuote">
    <w:name w:val="Intense Quote"/>
    <w:basedOn w:val="Normal"/>
    <w:next w:val="Normal"/>
    <w:link w:val="IntenseQuoteChar"/>
    <w:uiPriority w:val="30"/>
    <w:qFormat/>
    <w:rsid w:val="00B25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749"/>
    <w:rPr>
      <w:i/>
      <w:iCs/>
      <w:color w:val="0F4761" w:themeColor="accent1" w:themeShade="BF"/>
    </w:rPr>
  </w:style>
  <w:style w:type="character" w:styleId="IntenseReference">
    <w:name w:val="Intense Reference"/>
    <w:basedOn w:val="DefaultParagraphFont"/>
    <w:uiPriority w:val="32"/>
    <w:qFormat/>
    <w:rsid w:val="00B25749"/>
    <w:rPr>
      <w:b/>
      <w:bCs/>
      <w:smallCaps/>
      <w:color w:val="0F4761" w:themeColor="accent1" w:themeShade="BF"/>
      <w:spacing w:val="5"/>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2D5563"/>
  </w:style>
  <w:style w:type="paragraph" w:styleId="Footer">
    <w:name w:val="footer"/>
    <w:basedOn w:val="Normal"/>
    <w:link w:val="FooterChar"/>
    <w:uiPriority w:val="99"/>
    <w:unhideWhenUsed/>
    <w:rsid w:val="00806266"/>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806266"/>
    <w:rPr>
      <w:kern w:val="0"/>
      <w:sz w:val="22"/>
      <w:szCs w:val="22"/>
      <w:lang w:val="en-US"/>
      <w14:ligatures w14:val="none"/>
    </w:rPr>
  </w:style>
  <w:style w:type="paragraph" w:styleId="Revision">
    <w:name w:val="Revision"/>
    <w:hidden/>
    <w:uiPriority w:val="99"/>
    <w:semiHidden/>
    <w:rsid w:val="000807CB"/>
    <w:pPr>
      <w:spacing w:after="0" w:line="240" w:lineRule="auto"/>
    </w:pPr>
  </w:style>
  <w:style w:type="character" w:styleId="CommentReference">
    <w:name w:val="annotation reference"/>
    <w:basedOn w:val="DefaultParagraphFont"/>
    <w:uiPriority w:val="99"/>
    <w:semiHidden/>
    <w:unhideWhenUsed/>
    <w:rsid w:val="000807CB"/>
    <w:rPr>
      <w:sz w:val="16"/>
      <w:szCs w:val="16"/>
    </w:rPr>
  </w:style>
  <w:style w:type="paragraph" w:styleId="CommentText">
    <w:name w:val="annotation text"/>
    <w:basedOn w:val="Normal"/>
    <w:link w:val="CommentTextChar"/>
    <w:uiPriority w:val="99"/>
    <w:unhideWhenUsed/>
    <w:rsid w:val="000807CB"/>
    <w:pPr>
      <w:spacing w:line="240" w:lineRule="auto"/>
    </w:pPr>
    <w:rPr>
      <w:sz w:val="20"/>
      <w:szCs w:val="20"/>
    </w:rPr>
  </w:style>
  <w:style w:type="character" w:customStyle="1" w:styleId="CommentTextChar">
    <w:name w:val="Comment Text Char"/>
    <w:basedOn w:val="DefaultParagraphFont"/>
    <w:link w:val="CommentText"/>
    <w:uiPriority w:val="99"/>
    <w:rsid w:val="000807CB"/>
    <w:rPr>
      <w:sz w:val="20"/>
      <w:szCs w:val="20"/>
    </w:rPr>
  </w:style>
  <w:style w:type="paragraph" w:styleId="CommentSubject">
    <w:name w:val="annotation subject"/>
    <w:basedOn w:val="CommentText"/>
    <w:next w:val="CommentText"/>
    <w:link w:val="CommentSubjectChar"/>
    <w:uiPriority w:val="99"/>
    <w:semiHidden/>
    <w:unhideWhenUsed/>
    <w:rsid w:val="000807CB"/>
    <w:rPr>
      <w:b/>
      <w:bCs/>
    </w:rPr>
  </w:style>
  <w:style w:type="character" w:customStyle="1" w:styleId="CommentSubjectChar">
    <w:name w:val="Comment Subject Char"/>
    <w:basedOn w:val="CommentTextChar"/>
    <w:link w:val="CommentSubject"/>
    <w:uiPriority w:val="99"/>
    <w:semiHidden/>
    <w:rsid w:val="00080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e8443b-09b9-4fac-b1fd-ad18978bd612" xsi:nil="true"/>
    <lcf76f155ced4ddcb4097134ff3c332f xmlns="7c8bef9f-bdee-4940-96c4-9ade69a3c1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29A466329ED240A78DE03404294E79" ma:contentTypeVersion="13" ma:contentTypeDescription="Create a new document." ma:contentTypeScope="" ma:versionID="6997cc8660b180602c2fa389d1f3e142">
  <xsd:schema xmlns:xsd="http://www.w3.org/2001/XMLSchema" xmlns:xs="http://www.w3.org/2001/XMLSchema" xmlns:p="http://schemas.microsoft.com/office/2006/metadata/properties" xmlns:ns2="7c8bef9f-bdee-4940-96c4-9ade69a3c118" xmlns:ns3="d4e8443b-09b9-4fac-b1fd-ad18978bd612" targetNamespace="http://schemas.microsoft.com/office/2006/metadata/properties" ma:root="true" ma:fieldsID="91ddb8ad70503a67f6f23d85e5270b32" ns2:_="" ns3:_="">
    <xsd:import namespace="7c8bef9f-bdee-4940-96c4-9ade69a3c118"/>
    <xsd:import namespace="d4e8443b-09b9-4fac-b1fd-ad18978bd6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bef9f-bdee-4940-96c4-9ade69a3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3740-4b3b-42c9-bab2-ea341cd116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e8443b-09b9-4fac-b1fd-ad18978bd6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86fc9-b3fe-4fd3-ac8d-c9ca6ee9a980}" ma:internalName="TaxCatchAll" ma:showField="CatchAllData" ma:web="d4e8443b-09b9-4fac-b1fd-ad18978bd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0FAC8-D756-4551-B7D9-E595C7BE69AC}">
  <ds:schemaRefs>
    <ds:schemaRef ds:uri="http://schemas.microsoft.com/office/2006/metadata/properties"/>
    <ds:schemaRef ds:uri="http://schemas.microsoft.com/office/infopath/2007/PartnerControls"/>
    <ds:schemaRef ds:uri="d4e8443b-09b9-4fac-b1fd-ad18978bd612"/>
    <ds:schemaRef ds:uri="7c8bef9f-bdee-4940-96c4-9ade69a3c118"/>
  </ds:schemaRefs>
</ds:datastoreItem>
</file>

<file path=customXml/itemProps2.xml><?xml version="1.0" encoding="utf-8"?>
<ds:datastoreItem xmlns:ds="http://schemas.openxmlformats.org/officeDocument/2006/customXml" ds:itemID="{3D3BE94B-DE17-4541-93CE-4E245AFBECD4}">
  <ds:schemaRefs>
    <ds:schemaRef ds:uri="http://schemas.microsoft.com/sharepoint/v3/contenttype/forms"/>
  </ds:schemaRefs>
</ds:datastoreItem>
</file>

<file path=customXml/itemProps3.xml><?xml version="1.0" encoding="utf-8"?>
<ds:datastoreItem xmlns:ds="http://schemas.openxmlformats.org/officeDocument/2006/customXml" ds:itemID="{E5AA6A1C-4EBF-4DF6-AC7E-340F60BD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bef9f-bdee-4940-96c4-9ade69a3c118"/>
    <ds:schemaRef ds:uri="d4e8443b-09b9-4fac-b1fd-ad18978bd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6455</Characters>
  <Application>Microsoft Office Word</Application>
  <DocSecurity>0</DocSecurity>
  <Lines>153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Daneel</dc:creator>
  <cp:keywords/>
  <dc:description/>
  <cp:lastModifiedBy>Sam Ryumugabe</cp:lastModifiedBy>
  <cp:revision>2</cp:revision>
  <dcterms:created xsi:type="dcterms:W3CDTF">2025-11-20T06:32:00Z</dcterms:created>
  <dcterms:modified xsi:type="dcterms:W3CDTF">2025-11-20T06:32:00Z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0x0101004F29A466329ED240A78DE03404294E79</vt:lpwstr>
  </property>
</Properties>
</file>