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3EB8" w14:textId="2F06B361" w:rsidR="00694FA9" w:rsidRPr="00077C54" w:rsidRDefault="00694FA9" w:rsidP="00694FA9">
      <w:pPr>
        <w:pStyle w:val="Title"/>
        <w:rPr>
          <w:rFonts w:ascii="Montserrat" w:hAnsi="Montserrat"/>
          <w:b/>
          <w:bCs/>
          <w:sz w:val="40"/>
          <w:szCs w:val="40"/>
          <w:u w:val="single"/>
        </w:rPr>
      </w:pPr>
      <w:r w:rsidRPr="00077C54">
        <w:rPr>
          <w:rFonts w:ascii="Montserrat" w:hAnsi="Montserrat"/>
          <w:b/>
          <w:bCs/>
          <w:sz w:val="40"/>
          <w:szCs w:val="40"/>
          <w:u w:val="single"/>
        </w:rPr>
        <w:t>Concept note</w:t>
      </w:r>
      <w:r w:rsidR="00A168B7">
        <w:rPr>
          <w:rFonts w:ascii="Montserrat" w:hAnsi="Montserrat"/>
          <w:b/>
          <w:bCs/>
          <w:sz w:val="40"/>
          <w:szCs w:val="40"/>
          <w:u w:val="single"/>
        </w:rPr>
        <w:t xml:space="preserve"> </w:t>
      </w:r>
      <w:r w:rsidRPr="00077C54">
        <w:rPr>
          <w:rFonts w:ascii="Montserrat" w:hAnsi="Montserrat"/>
          <w:b/>
          <w:bCs/>
          <w:sz w:val="40"/>
          <w:szCs w:val="40"/>
          <w:u w:val="single"/>
        </w:rPr>
        <w:t>for the Trinity Leadership team Kwibuka 31 Commemoration</w:t>
      </w:r>
    </w:p>
    <w:p w14:paraId="02345F54" w14:textId="391E10D2" w:rsidR="005B1D51" w:rsidRPr="001272AE" w:rsidRDefault="001272AE" w:rsidP="001272AE">
      <w:pPr>
        <w:pStyle w:val="ListParagraph"/>
        <w:numPr>
          <w:ilvl w:val="0"/>
          <w:numId w:val="5"/>
        </w:numPr>
        <w:rPr>
          <w:rFonts w:ascii="Montserrat" w:hAnsi="Montserrat"/>
          <w:b/>
          <w:bCs/>
          <w:sz w:val="22"/>
          <w:szCs w:val="22"/>
        </w:rPr>
      </w:pPr>
      <w:r w:rsidRPr="001272AE">
        <w:rPr>
          <w:rFonts w:ascii="Montserrat" w:hAnsi="Montserrat"/>
          <w:b/>
          <w:bCs/>
          <w:sz w:val="22"/>
          <w:szCs w:val="22"/>
        </w:rPr>
        <w:t>Introduction</w:t>
      </w:r>
    </w:p>
    <w:p w14:paraId="2E39CC65" w14:textId="5A30451F" w:rsidR="005B1D51" w:rsidRPr="005B1D51" w:rsidRDefault="00A168B7" w:rsidP="005B1D51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As Rwanda marks the </w:t>
      </w:r>
      <w:proofErr w:type="spellStart"/>
      <w:r w:rsidR="005B1D51" w:rsidRPr="005B1D51">
        <w:rPr>
          <w:rFonts w:ascii="Montserrat" w:hAnsi="Montserrat"/>
          <w:sz w:val="22"/>
          <w:szCs w:val="22"/>
        </w:rPr>
        <w:t>Kwibuka</w:t>
      </w:r>
      <w:proofErr w:type="spellEnd"/>
      <w:r w:rsidR="005B1D51" w:rsidRPr="005B1D51">
        <w:rPr>
          <w:rFonts w:ascii="Montserrat" w:hAnsi="Montserrat"/>
          <w:sz w:val="22"/>
          <w:szCs w:val="22"/>
        </w:rPr>
        <w:t xml:space="preserve"> 31 since the 1994 Genocide against the Tutsi, a moment for Rwanda and the world to reflect, remember, and recommit to unity and peace. At Trinity, we have consistently honored this day by commemorating with our employees and families </w:t>
      </w:r>
      <w:r>
        <w:rPr>
          <w:rFonts w:ascii="Montserrat" w:hAnsi="Montserrat"/>
          <w:sz w:val="22"/>
          <w:szCs w:val="22"/>
        </w:rPr>
        <w:t xml:space="preserve">of the survivors </w:t>
      </w:r>
      <w:r w:rsidR="005B1D51" w:rsidRPr="005B1D51">
        <w:rPr>
          <w:rFonts w:ascii="Montserrat" w:hAnsi="Montserrat"/>
          <w:sz w:val="22"/>
          <w:szCs w:val="22"/>
        </w:rPr>
        <w:t>at each mine, remembering those we lost</w:t>
      </w:r>
      <w:r w:rsidR="0094169A">
        <w:rPr>
          <w:rFonts w:ascii="Montserrat" w:hAnsi="Montserrat"/>
          <w:sz w:val="22"/>
          <w:szCs w:val="22"/>
        </w:rPr>
        <w:t xml:space="preserve"> which is a duty for any responsible citizen or business.</w:t>
      </w:r>
    </w:p>
    <w:p w14:paraId="7A62FEFB" w14:textId="08D89E57" w:rsidR="005B1D51" w:rsidRPr="0094169A" w:rsidRDefault="005B1D51" w:rsidP="005B1D51">
      <w:pPr>
        <w:rPr>
          <w:rFonts w:ascii="Montserrat" w:hAnsi="Montserrat"/>
          <w:b/>
          <w:bCs/>
          <w:sz w:val="22"/>
          <w:szCs w:val="22"/>
          <w:u w:val="single"/>
        </w:rPr>
      </w:pPr>
      <w:r w:rsidRPr="0094169A">
        <w:rPr>
          <w:rFonts w:ascii="Montserrat" w:hAnsi="Montserrat"/>
          <w:b/>
          <w:bCs/>
          <w:sz w:val="22"/>
          <w:szCs w:val="22"/>
          <w:u w:val="single"/>
        </w:rPr>
        <w:t xml:space="preserve">Proposal </w:t>
      </w:r>
    </w:p>
    <w:p w14:paraId="2BDEA33D" w14:textId="242F4D86" w:rsidR="005B1D51" w:rsidRPr="005B1D51" w:rsidRDefault="005B1D51" w:rsidP="005B1D51">
      <w:p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sz w:val="22"/>
          <w:szCs w:val="22"/>
        </w:rPr>
        <w:t xml:space="preserve">For </w:t>
      </w:r>
      <w:r w:rsidRPr="005B1D51">
        <w:rPr>
          <w:rFonts w:ascii="Montserrat" w:hAnsi="Montserrat"/>
          <w:b/>
          <w:bCs/>
          <w:sz w:val="22"/>
          <w:szCs w:val="22"/>
        </w:rPr>
        <w:t>Kwibuka 31</w:t>
      </w:r>
      <w:r w:rsidRPr="005B1D51">
        <w:rPr>
          <w:rFonts w:ascii="Montserrat" w:hAnsi="Montserrat"/>
          <w:sz w:val="22"/>
          <w:szCs w:val="22"/>
        </w:rPr>
        <w:t xml:space="preserve">, we propose a meaningful shift in our tradition. Instead of only internal ceremonies, we suggest extending our remembrance beyond the company and joining hands with a vulnerable and often overlooked group of genocide survivors —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z’Intwaza</w:t>
      </w:r>
      <w:proofErr w:type="spellEnd"/>
      <w:r w:rsidRPr="005B1D51">
        <w:rPr>
          <w:rFonts w:ascii="Montserrat" w:hAnsi="Montserrat"/>
          <w:sz w:val="22"/>
          <w:szCs w:val="22"/>
        </w:rPr>
        <w:t xml:space="preserve"> in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Bugesera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District</w:t>
      </w:r>
      <w:r w:rsidR="001272AE">
        <w:rPr>
          <w:rFonts w:ascii="Montserrat" w:hAnsi="Montserrat"/>
          <w:sz w:val="22"/>
          <w:szCs w:val="22"/>
        </w:rPr>
        <w:t xml:space="preserve"> on </w:t>
      </w:r>
      <w:r w:rsidR="001272AE" w:rsidRPr="005B1D51">
        <w:rPr>
          <w:rFonts w:ascii="Montserrat" w:hAnsi="Montserrat"/>
          <w:b/>
          <w:bCs/>
          <w:sz w:val="22"/>
          <w:szCs w:val="22"/>
        </w:rPr>
        <w:t>May 9, 2025</w:t>
      </w:r>
      <w:r w:rsidR="001272AE">
        <w:rPr>
          <w:rFonts w:ascii="Montserrat" w:hAnsi="Montserrat"/>
          <w:sz w:val="22"/>
          <w:szCs w:val="22"/>
        </w:rPr>
        <w:t>.</w:t>
      </w:r>
    </w:p>
    <w:p w14:paraId="17291D8D" w14:textId="77777777" w:rsidR="005B1D51" w:rsidRPr="005B1D51" w:rsidRDefault="005B1D51" w:rsidP="005B1D51">
      <w:pPr>
        <w:rPr>
          <w:rFonts w:ascii="Montserrat" w:hAnsi="Montserrat"/>
          <w:b/>
          <w:bCs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 xml:space="preserve">Who Are the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z’Intwaza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>?</w:t>
      </w:r>
    </w:p>
    <w:p w14:paraId="1F5F5B27" w14:textId="37BA80A8" w:rsidR="005B1D51" w:rsidRPr="005B1D51" w:rsidRDefault="005B1D51" w:rsidP="005B1D51">
      <w:p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sz w:val="22"/>
          <w:szCs w:val="22"/>
        </w:rPr>
        <w:t xml:space="preserve">The term </w:t>
      </w:r>
      <w:r w:rsidRPr="005B1D51">
        <w:rPr>
          <w:rFonts w:ascii="Montserrat" w:hAnsi="Montserrat"/>
          <w:i/>
          <w:iCs/>
          <w:sz w:val="22"/>
          <w:szCs w:val="22"/>
        </w:rPr>
        <w:t>“</w:t>
      </w:r>
      <w:proofErr w:type="spellStart"/>
      <w:r w:rsidRPr="005B1D51">
        <w:rPr>
          <w:rFonts w:ascii="Montserrat" w:hAnsi="Montserrat"/>
          <w:i/>
          <w:i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i/>
          <w:iCs/>
          <w:sz w:val="22"/>
          <w:szCs w:val="22"/>
        </w:rPr>
        <w:t>”</w:t>
      </w:r>
      <w:r w:rsidRPr="005B1D51">
        <w:rPr>
          <w:rFonts w:ascii="Montserrat" w:hAnsi="Montserrat"/>
          <w:sz w:val="22"/>
          <w:szCs w:val="22"/>
        </w:rPr>
        <w:t xml:space="preserve"> translates to </w:t>
      </w:r>
      <w:r w:rsidRPr="005B1D51">
        <w:rPr>
          <w:rFonts w:ascii="Montserrat" w:hAnsi="Montserrat"/>
          <w:i/>
          <w:iCs/>
          <w:sz w:val="22"/>
          <w:szCs w:val="22"/>
        </w:rPr>
        <w:t>“the survivors of life,”</w:t>
      </w:r>
      <w:r w:rsidRPr="005B1D51">
        <w:rPr>
          <w:rFonts w:ascii="Montserrat" w:hAnsi="Montserrat"/>
          <w:sz w:val="22"/>
          <w:szCs w:val="22"/>
        </w:rPr>
        <w:t xml:space="preserve"> symbolizing strength and resilience. These are elderly genocide survivors, mostly widows and widowers, who lost their entire families during the 1994 genocide</w:t>
      </w:r>
      <w:r w:rsidR="0094169A">
        <w:rPr>
          <w:rFonts w:ascii="Montserrat" w:hAnsi="Montserrat"/>
          <w:sz w:val="22"/>
          <w:szCs w:val="22"/>
        </w:rPr>
        <w:t xml:space="preserve"> against the Tutsi</w:t>
      </w:r>
      <w:r w:rsidRPr="005B1D51">
        <w:rPr>
          <w:rFonts w:ascii="Montserrat" w:hAnsi="Montserrat"/>
          <w:sz w:val="22"/>
          <w:szCs w:val="22"/>
        </w:rPr>
        <w:t xml:space="preserve">. Many of them had lived in isolation, until the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Hostel</w:t>
      </w:r>
      <w:r w:rsidRPr="005B1D51">
        <w:rPr>
          <w:rFonts w:ascii="Montserrat" w:hAnsi="Montserrat"/>
          <w:sz w:val="22"/>
          <w:szCs w:val="22"/>
        </w:rPr>
        <w:t xml:space="preserve"> in </w:t>
      </w:r>
      <w:proofErr w:type="spellStart"/>
      <w:r w:rsidRPr="005B1D51">
        <w:rPr>
          <w:rFonts w:ascii="Montserrat" w:hAnsi="Montserrat"/>
          <w:sz w:val="22"/>
          <w:szCs w:val="22"/>
        </w:rPr>
        <w:t>Bugesera</w:t>
      </w:r>
      <w:proofErr w:type="spellEnd"/>
      <w:r w:rsidRPr="005B1D51">
        <w:rPr>
          <w:rFonts w:ascii="Montserrat" w:hAnsi="Montserrat"/>
          <w:sz w:val="22"/>
          <w:szCs w:val="22"/>
        </w:rPr>
        <w:t xml:space="preserve"> was established to provide them with shelter, care, and companionship.</w:t>
      </w:r>
      <w:r w:rsidR="0094169A">
        <w:rPr>
          <w:rFonts w:ascii="Montserrat" w:hAnsi="Montserrat"/>
          <w:sz w:val="22"/>
          <w:szCs w:val="22"/>
        </w:rPr>
        <w:t xml:space="preserve"> Joining them and sharing some quality time and a few items with them enlightens their life and feeling the sense of belonging in such a critical time of reflection.</w:t>
      </w:r>
    </w:p>
    <w:p w14:paraId="2838B219" w14:textId="01D3B985" w:rsidR="005B1D51" w:rsidRPr="005B1D51" w:rsidRDefault="005B1D51" w:rsidP="005B1D51">
      <w:pPr>
        <w:rPr>
          <w:rFonts w:ascii="Montserrat" w:hAnsi="Montserrat"/>
          <w:sz w:val="22"/>
          <w:szCs w:val="22"/>
        </w:rPr>
      </w:pPr>
    </w:p>
    <w:p w14:paraId="22153523" w14:textId="7824D342" w:rsidR="005B1D51" w:rsidRPr="001272AE" w:rsidRDefault="005B1D51" w:rsidP="001272AE">
      <w:pPr>
        <w:pStyle w:val="ListParagraph"/>
        <w:numPr>
          <w:ilvl w:val="0"/>
          <w:numId w:val="5"/>
        </w:numPr>
        <w:rPr>
          <w:rFonts w:ascii="Montserrat" w:hAnsi="Montserrat"/>
          <w:b/>
          <w:bCs/>
          <w:sz w:val="22"/>
          <w:szCs w:val="22"/>
        </w:rPr>
      </w:pPr>
      <w:r w:rsidRPr="001272AE">
        <w:rPr>
          <w:rFonts w:ascii="Montserrat" w:hAnsi="Montserrat"/>
          <w:b/>
          <w:bCs/>
          <w:sz w:val="22"/>
          <w:szCs w:val="22"/>
        </w:rPr>
        <w:t>Commemoration Journey Outline</w:t>
      </w:r>
    </w:p>
    <w:p w14:paraId="22A44134" w14:textId="77777777" w:rsidR="005B1D51" w:rsidRPr="005B1D51" w:rsidRDefault="005B1D51" w:rsidP="005B1D51">
      <w:pPr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 xml:space="preserve">Visit to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Nyamata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Genocide Memorial</w:t>
      </w:r>
      <w:r w:rsidRPr="005B1D51">
        <w:rPr>
          <w:rFonts w:ascii="Montserrat" w:hAnsi="Montserrat"/>
          <w:sz w:val="22"/>
          <w:szCs w:val="22"/>
        </w:rPr>
        <w:br/>
        <w:t xml:space="preserve">We will begin our day at the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Nyamata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Genocide Memorial</w:t>
      </w:r>
      <w:r w:rsidRPr="005B1D51">
        <w:rPr>
          <w:rFonts w:ascii="Montserrat" w:hAnsi="Montserrat"/>
          <w:sz w:val="22"/>
          <w:szCs w:val="22"/>
        </w:rPr>
        <w:t>, a deeply significant site where over 10,000 Tutsi were massacred inside a church that was meant to be a sanctuary. The visit will ground our team in the gravity of what happened and serve as a moment of collective reflection.</w:t>
      </w:r>
    </w:p>
    <w:p w14:paraId="768A44E6" w14:textId="7C54D8C9" w:rsidR="005B1D51" w:rsidRDefault="005B1D51" w:rsidP="005B1D51">
      <w:pPr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 xml:space="preserve">Outreach to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Hostel –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Bugesera</w:t>
      </w:r>
      <w:proofErr w:type="spellEnd"/>
      <w:r w:rsidRPr="005B1D51">
        <w:rPr>
          <w:rFonts w:ascii="Montserrat" w:hAnsi="Montserrat"/>
          <w:sz w:val="22"/>
          <w:szCs w:val="22"/>
        </w:rPr>
        <w:br/>
        <w:t xml:space="preserve">From </w:t>
      </w:r>
      <w:proofErr w:type="spellStart"/>
      <w:r w:rsidRPr="005B1D51">
        <w:rPr>
          <w:rFonts w:ascii="Montserrat" w:hAnsi="Montserrat"/>
          <w:sz w:val="22"/>
          <w:szCs w:val="22"/>
        </w:rPr>
        <w:t>Nyamata</w:t>
      </w:r>
      <w:proofErr w:type="spellEnd"/>
      <w:r w:rsidRPr="005B1D51">
        <w:rPr>
          <w:rFonts w:ascii="Montserrat" w:hAnsi="Montserrat"/>
          <w:sz w:val="22"/>
          <w:szCs w:val="22"/>
        </w:rPr>
        <w:t xml:space="preserve">, we will proceed to meet the residents of the </w:t>
      </w:r>
      <w:proofErr w:type="spellStart"/>
      <w:r w:rsidRPr="005B1D51">
        <w:rPr>
          <w:rFonts w:ascii="Montserrat" w:hAnsi="Montserrat"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sz w:val="22"/>
          <w:szCs w:val="22"/>
        </w:rPr>
        <w:t xml:space="preserve"> Hostel. Our goal is to spend time listening, engaging, and honoring them — </w:t>
      </w:r>
      <w:r w:rsidRPr="005B1D51">
        <w:rPr>
          <w:rFonts w:ascii="Montserrat" w:hAnsi="Montserrat"/>
          <w:sz w:val="22"/>
          <w:szCs w:val="22"/>
        </w:rPr>
        <w:lastRenderedPageBreak/>
        <w:t>not just as victims of genocide, but as resilient survivors who embody strength, dignity, and the spirit of unity.</w:t>
      </w:r>
    </w:p>
    <w:p w14:paraId="205C5705" w14:textId="77777777" w:rsidR="00077C54" w:rsidRPr="005B1D51" w:rsidRDefault="00077C54" w:rsidP="00077C54">
      <w:pPr>
        <w:rPr>
          <w:rFonts w:ascii="Montserrat" w:hAnsi="Montserrat"/>
          <w:sz w:val="22"/>
          <w:szCs w:val="22"/>
        </w:rPr>
      </w:pPr>
    </w:p>
    <w:p w14:paraId="3182197A" w14:textId="23353882" w:rsidR="005B1D51" w:rsidRPr="001272AE" w:rsidRDefault="005B1D51" w:rsidP="001272AE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2"/>
          <w:szCs w:val="22"/>
        </w:rPr>
      </w:pPr>
      <w:r w:rsidRPr="001272AE">
        <w:rPr>
          <w:rFonts w:ascii="Montserrat" w:hAnsi="Montserrat"/>
          <w:b/>
          <w:bCs/>
          <w:sz w:val="22"/>
          <w:szCs w:val="22"/>
        </w:rPr>
        <w:t>Objectives</w:t>
      </w:r>
    </w:p>
    <w:p w14:paraId="671822C7" w14:textId="77777777" w:rsidR="005B1D51" w:rsidRPr="005B1D51" w:rsidRDefault="005B1D51" w:rsidP="005B1D51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>Solidarity</w:t>
      </w:r>
      <w:r w:rsidRPr="005B1D51">
        <w:rPr>
          <w:rFonts w:ascii="Montserrat" w:hAnsi="Montserrat"/>
          <w:sz w:val="22"/>
          <w:szCs w:val="22"/>
        </w:rPr>
        <w:t>: Stand with elderly survivors who have limited social connection or family.</w:t>
      </w:r>
    </w:p>
    <w:p w14:paraId="23FB14BF" w14:textId="77777777" w:rsidR="005B1D51" w:rsidRPr="005B1D51" w:rsidRDefault="005B1D51" w:rsidP="005B1D51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>Remembrance</w:t>
      </w:r>
      <w:r w:rsidRPr="005B1D51">
        <w:rPr>
          <w:rFonts w:ascii="Montserrat" w:hAnsi="Montserrat"/>
          <w:sz w:val="22"/>
          <w:szCs w:val="22"/>
        </w:rPr>
        <w:t>: Honor the victims of the genocide in a broader national context.</w:t>
      </w:r>
    </w:p>
    <w:p w14:paraId="500601CE" w14:textId="620E9EA3" w:rsidR="005B1D51" w:rsidRPr="005B1D51" w:rsidRDefault="005B1D51" w:rsidP="005B1D51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b/>
          <w:bCs/>
          <w:sz w:val="22"/>
          <w:szCs w:val="22"/>
        </w:rPr>
        <w:t>Community Engagement</w:t>
      </w:r>
      <w:r w:rsidRPr="005B1D51">
        <w:rPr>
          <w:rFonts w:ascii="Montserrat" w:hAnsi="Montserrat"/>
          <w:sz w:val="22"/>
          <w:szCs w:val="22"/>
        </w:rPr>
        <w:t>: Strengthen our relationship with local communities beyond our mining operations.</w:t>
      </w:r>
    </w:p>
    <w:p w14:paraId="0AB74423" w14:textId="514E75F7" w:rsidR="005B1D51" w:rsidRPr="005B1D51" w:rsidRDefault="005B1D51" w:rsidP="005B1D51">
      <w:pPr>
        <w:rPr>
          <w:rFonts w:ascii="Montserrat" w:hAnsi="Montserrat"/>
          <w:sz w:val="22"/>
          <w:szCs w:val="22"/>
        </w:rPr>
      </w:pPr>
    </w:p>
    <w:p w14:paraId="33BDA0B9" w14:textId="17B54B33" w:rsidR="005B1D51" w:rsidRPr="00077C54" w:rsidRDefault="001272AE" w:rsidP="00077C5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2"/>
          <w:szCs w:val="22"/>
        </w:rPr>
      </w:pPr>
      <w:r w:rsidRPr="00077C54">
        <w:rPr>
          <w:rFonts w:ascii="Montserrat" w:hAnsi="Montserrat"/>
          <w:b/>
          <w:bCs/>
          <w:sz w:val="22"/>
          <w:szCs w:val="22"/>
        </w:rPr>
        <w:t>Estimated budget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594"/>
        <w:gridCol w:w="3767"/>
        <w:gridCol w:w="1233"/>
        <w:gridCol w:w="1277"/>
        <w:gridCol w:w="1349"/>
      </w:tblGrid>
      <w:tr w:rsidR="00A655BD" w14:paraId="38F0F85A" w14:textId="77777777" w:rsidTr="00A655BD">
        <w:trPr>
          <w:trHeight w:val="73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A463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393D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Items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B9BF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Unit Cost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8D09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5208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A655BD" w14:paraId="63626184" w14:textId="77777777" w:rsidTr="00A655BD">
        <w:trPr>
          <w:trHeight w:val="73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6519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1FBC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Sanitary products (gifts to </w:t>
            </w:r>
            <w:proofErr w:type="spellStart"/>
            <w:r>
              <w:rPr>
                <w:rFonts w:ascii="Montserrat" w:hAnsi="Montserrat"/>
                <w:color w:val="000000"/>
                <w:sz w:val="22"/>
                <w:szCs w:val="22"/>
              </w:rPr>
              <w:t>Impinganzima</w:t>
            </w:r>
            <w:proofErr w:type="spellEnd"/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Hostel)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5D37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F2CE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8AEC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1,600,000</w:t>
            </w:r>
          </w:p>
        </w:tc>
      </w:tr>
      <w:tr w:rsidR="00A655BD" w14:paraId="3249C4A9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EBD4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B0CEA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Envelop (gift to the Memorial)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523D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B0D8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41A2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400,000</w:t>
            </w:r>
          </w:p>
        </w:tc>
      </w:tr>
      <w:tr w:rsidR="00A655BD" w14:paraId="4EA52CE5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54F2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A1AD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Small flowers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5AEA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A084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DC2B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29,000</w:t>
            </w:r>
          </w:p>
        </w:tc>
      </w:tr>
      <w:tr w:rsidR="00A655BD" w14:paraId="2857F54A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2DC6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E3F1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Bouquet of flowers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5450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7102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3271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90,000</w:t>
            </w:r>
          </w:p>
        </w:tc>
      </w:tr>
      <w:tr w:rsidR="00A655BD" w14:paraId="54CF059A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E25C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D264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Media (The </w:t>
            </w:r>
            <w:proofErr w:type="spellStart"/>
            <w:r>
              <w:rPr>
                <w:rFonts w:ascii="Montserrat" w:hAnsi="Montserrat"/>
                <w:color w:val="000000"/>
                <w:sz w:val="22"/>
                <w:szCs w:val="22"/>
              </w:rPr>
              <w:t>newtimes</w:t>
            </w:r>
            <w:proofErr w:type="spellEnd"/>
            <w:r>
              <w:rPr>
                <w:rFonts w:ascii="Montserrat" w:hAnsi="Montserr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208B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726,000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42A5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9F17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726,000</w:t>
            </w:r>
          </w:p>
        </w:tc>
      </w:tr>
      <w:tr w:rsidR="00A655BD" w14:paraId="6300F03A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D364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7320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Photographers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7D9F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254A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4A58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80,000</w:t>
            </w:r>
          </w:p>
        </w:tc>
      </w:tr>
      <w:tr w:rsidR="00A655BD" w14:paraId="6AD58892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CE3E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CF4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Montserrat" w:hAnsi="Montserrat"/>
                <w:color w:val="000000"/>
                <w:sz w:val="22"/>
                <w:szCs w:val="22"/>
              </w:rPr>
              <w:t>Kwibuka</w:t>
            </w:r>
            <w:proofErr w:type="spellEnd"/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branded T-Shirts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0A9B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15,700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BE77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B31F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471,000</w:t>
            </w:r>
          </w:p>
        </w:tc>
      </w:tr>
      <w:tr w:rsidR="00A655BD" w14:paraId="5F71DD40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40DA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AFC2" w14:textId="77777777" w:rsidR="00A655BD" w:rsidRDefault="00A655BD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60AB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6CFE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2331" w14:textId="77777777" w:rsidR="00A655BD" w:rsidRDefault="00A655BD">
            <w:pPr>
              <w:jc w:val="right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color w:val="000000"/>
                <w:sz w:val="22"/>
                <w:szCs w:val="22"/>
              </w:rPr>
              <w:t>450,000</w:t>
            </w:r>
          </w:p>
        </w:tc>
      </w:tr>
      <w:tr w:rsidR="00A655BD" w14:paraId="03D9E8CA" w14:textId="77777777" w:rsidTr="00A655BD">
        <w:trPr>
          <w:trHeight w:val="3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C0E9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6A43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  <w:highlight w:val="yellow"/>
              </w:rPr>
              <w:t>Total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47FC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5880" w14:textId="77777777" w:rsidR="00A655BD" w:rsidRDefault="00A655BD">
            <w:pP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0B0E" w14:textId="77777777" w:rsidR="00A655BD" w:rsidRDefault="00A655BD">
            <w:pPr>
              <w:jc w:val="right"/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>3,846,000</w:t>
            </w:r>
          </w:p>
        </w:tc>
      </w:tr>
    </w:tbl>
    <w:p w14:paraId="4B229811" w14:textId="7320B648" w:rsidR="005B1D51" w:rsidRPr="005B1D51" w:rsidRDefault="005B1D51" w:rsidP="005B1D51">
      <w:pPr>
        <w:rPr>
          <w:rFonts w:ascii="Montserrat" w:hAnsi="Montserrat"/>
          <w:sz w:val="22"/>
          <w:szCs w:val="22"/>
        </w:rPr>
      </w:pPr>
    </w:p>
    <w:p w14:paraId="0930B1A6" w14:textId="11EE57C2" w:rsidR="005B1D51" w:rsidRPr="00077C54" w:rsidRDefault="005B1D51" w:rsidP="00077C54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2"/>
          <w:szCs w:val="22"/>
        </w:rPr>
      </w:pPr>
      <w:r w:rsidRPr="00077C54">
        <w:rPr>
          <w:rFonts w:ascii="Montserrat" w:hAnsi="Montserrat"/>
          <w:b/>
          <w:bCs/>
          <w:sz w:val="22"/>
          <w:szCs w:val="22"/>
        </w:rPr>
        <w:t>Closing Note</w:t>
      </w:r>
    </w:p>
    <w:p w14:paraId="2C1BEF3E" w14:textId="77777777" w:rsidR="005B1D51" w:rsidRPr="005B1D51" w:rsidRDefault="005B1D51" w:rsidP="005B1D51">
      <w:pPr>
        <w:rPr>
          <w:rFonts w:ascii="Montserrat" w:hAnsi="Montserrat"/>
          <w:sz w:val="22"/>
          <w:szCs w:val="22"/>
        </w:rPr>
      </w:pPr>
      <w:r w:rsidRPr="005B1D51">
        <w:rPr>
          <w:rFonts w:ascii="Montserrat" w:hAnsi="Montserrat"/>
          <w:sz w:val="22"/>
          <w:szCs w:val="22"/>
        </w:rPr>
        <w:lastRenderedPageBreak/>
        <w:t xml:space="preserve">This year, let us go beyond remembering. Let us connect. Let us honor. Let us give back. By reaching out to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Impinganzima</w:t>
      </w:r>
      <w:proofErr w:type="spellEnd"/>
      <w:r w:rsidRPr="005B1D51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5B1D51">
        <w:rPr>
          <w:rFonts w:ascii="Montserrat" w:hAnsi="Montserrat"/>
          <w:b/>
          <w:bCs/>
          <w:sz w:val="22"/>
          <w:szCs w:val="22"/>
        </w:rPr>
        <w:t>z’Intwaza</w:t>
      </w:r>
      <w:proofErr w:type="spellEnd"/>
      <w:r w:rsidRPr="005B1D51">
        <w:rPr>
          <w:rFonts w:ascii="Montserrat" w:hAnsi="Montserrat"/>
          <w:sz w:val="22"/>
          <w:szCs w:val="22"/>
        </w:rPr>
        <w:t>, we not only commemorate, but we affirm our shared humanity and responsibility to uplift those who carry the heaviest burdens of our past.</w:t>
      </w:r>
    </w:p>
    <w:p w14:paraId="57989EF8" w14:textId="77777777" w:rsidR="00EC0BA8" w:rsidRPr="00694FA9" w:rsidRDefault="00EC0BA8">
      <w:pPr>
        <w:rPr>
          <w:rFonts w:ascii="Montserrat" w:hAnsi="Montserrat"/>
          <w:sz w:val="22"/>
          <w:szCs w:val="22"/>
        </w:rPr>
      </w:pPr>
    </w:p>
    <w:sectPr w:rsidR="00EC0BA8" w:rsidRPr="00694F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0B0A" w14:textId="77777777" w:rsidR="009A5278" w:rsidRDefault="009A5278" w:rsidP="00077C54">
      <w:pPr>
        <w:spacing w:after="0" w:line="240" w:lineRule="auto"/>
      </w:pPr>
      <w:r>
        <w:separator/>
      </w:r>
    </w:p>
  </w:endnote>
  <w:endnote w:type="continuationSeparator" w:id="0">
    <w:p w14:paraId="0A5FF6E6" w14:textId="77777777" w:rsidR="009A5278" w:rsidRDefault="009A5278" w:rsidP="0007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5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70AF6" w14:textId="3C0E26DF" w:rsidR="00077C54" w:rsidRDefault="00077C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569C5" w14:textId="77777777" w:rsidR="00077C54" w:rsidRDefault="00077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2CC" w14:textId="77777777" w:rsidR="009A5278" w:rsidRDefault="009A5278" w:rsidP="00077C54">
      <w:pPr>
        <w:spacing w:after="0" w:line="240" w:lineRule="auto"/>
      </w:pPr>
      <w:r>
        <w:separator/>
      </w:r>
    </w:p>
  </w:footnote>
  <w:footnote w:type="continuationSeparator" w:id="0">
    <w:p w14:paraId="426A65A3" w14:textId="77777777" w:rsidR="009A5278" w:rsidRDefault="009A5278" w:rsidP="0007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EF7" w14:textId="2384FC8E" w:rsidR="00077C54" w:rsidRDefault="00077C54" w:rsidP="00077C54">
    <w:pPr>
      <w:pStyle w:val="Header"/>
      <w:jc w:val="center"/>
    </w:pPr>
    <w:r w:rsidRPr="000540FD">
      <w:rPr>
        <w:noProof/>
      </w:rPr>
      <w:drawing>
        <wp:inline distT="0" distB="0" distL="0" distR="0" wp14:anchorId="785FC221" wp14:editId="0CA763E1">
          <wp:extent cx="1828800" cy="10881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08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1798"/>
    <w:multiLevelType w:val="multilevel"/>
    <w:tmpl w:val="B8E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C36F2"/>
    <w:multiLevelType w:val="hybridMultilevel"/>
    <w:tmpl w:val="85688A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79BE"/>
    <w:multiLevelType w:val="multilevel"/>
    <w:tmpl w:val="9954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970C8"/>
    <w:multiLevelType w:val="multilevel"/>
    <w:tmpl w:val="D412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56674"/>
    <w:multiLevelType w:val="multilevel"/>
    <w:tmpl w:val="7D0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288172">
    <w:abstractNumId w:val="2"/>
  </w:num>
  <w:num w:numId="2" w16cid:durableId="840435170">
    <w:abstractNumId w:val="0"/>
  </w:num>
  <w:num w:numId="3" w16cid:durableId="1495729233">
    <w:abstractNumId w:val="4"/>
  </w:num>
  <w:num w:numId="4" w16cid:durableId="515660214">
    <w:abstractNumId w:val="3"/>
  </w:num>
  <w:num w:numId="5" w16cid:durableId="103319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A8"/>
    <w:rsid w:val="00077C54"/>
    <w:rsid w:val="001272AE"/>
    <w:rsid w:val="00331A9C"/>
    <w:rsid w:val="00363389"/>
    <w:rsid w:val="003B296A"/>
    <w:rsid w:val="003F4802"/>
    <w:rsid w:val="00566A99"/>
    <w:rsid w:val="0059479A"/>
    <w:rsid w:val="005B1D51"/>
    <w:rsid w:val="005E0DD4"/>
    <w:rsid w:val="00634615"/>
    <w:rsid w:val="00694FA9"/>
    <w:rsid w:val="006E4B5E"/>
    <w:rsid w:val="007442CB"/>
    <w:rsid w:val="0094169A"/>
    <w:rsid w:val="009A4448"/>
    <w:rsid w:val="009A5278"/>
    <w:rsid w:val="00A168B7"/>
    <w:rsid w:val="00A45BDB"/>
    <w:rsid w:val="00A655BD"/>
    <w:rsid w:val="00AC21B0"/>
    <w:rsid w:val="00CE3066"/>
    <w:rsid w:val="00E05218"/>
    <w:rsid w:val="00E83F65"/>
    <w:rsid w:val="00E90343"/>
    <w:rsid w:val="00EB0F31"/>
    <w:rsid w:val="00E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6139"/>
  <w15:chartTrackingRefBased/>
  <w15:docId w15:val="{D77123C1-CE24-46B7-B433-B1AAEB4D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A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2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54"/>
  </w:style>
  <w:style w:type="paragraph" w:styleId="Footer">
    <w:name w:val="footer"/>
    <w:basedOn w:val="Normal"/>
    <w:link w:val="FooterChar"/>
    <w:uiPriority w:val="99"/>
    <w:unhideWhenUsed/>
    <w:rsid w:val="0007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Uwera</dc:creator>
  <cp:keywords/>
  <dc:description/>
  <cp:lastModifiedBy>Sam Ryumugabe</cp:lastModifiedBy>
  <cp:revision>2</cp:revision>
  <dcterms:created xsi:type="dcterms:W3CDTF">2025-05-05T13:26:00Z</dcterms:created>
  <dcterms:modified xsi:type="dcterms:W3CDTF">2025-05-05T13:26:00Z</dcterms:modified>
</cp:coreProperties>
</file>